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6F" w:rsidRPr="00365BBB" w:rsidRDefault="0067046F" w:rsidP="000E7B77">
      <w:pPr>
        <w:spacing w:after="0" w:line="276" w:lineRule="auto"/>
        <w:jc w:val="both"/>
        <w:rPr>
          <w:rFonts w:ascii="Palatino Linotype" w:hAnsi="Palatino Linotype" w:cs="Tahoma"/>
          <w:b/>
        </w:rPr>
      </w:pPr>
    </w:p>
    <w:p w:rsidR="00553ADE" w:rsidRPr="00365BBB" w:rsidRDefault="00553ADE" w:rsidP="000E7B77">
      <w:pPr>
        <w:spacing w:after="0" w:line="276" w:lineRule="auto"/>
        <w:jc w:val="both"/>
        <w:rPr>
          <w:rFonts w:ascii="Palatino Linotype" w:hAnsi="Palatino Linotype" w:cs="Tahoma"/>
          <w:b/>
        </w:rPr>
      </w:pPr>
      <w:r w:rsidRPr="00365BBB">
        <w:rPr>
          <w:rFonts w:ascii="Palatino Linotype" w:hAnsi="Palatino Linotype" w:cs="Tahoma"/>
          <w:b/>
        </w:rPr>
        <w:t>VOTO PARTICULAR QUE FORMULA</w:t>
      </w:r>
      <w:r w:rsidR="00B5279E">
        <w:rPr>
          <w:rFonts w:ascii="Palatino Linotype" w:hAnsi="Palatino Linotype" w:cs="Tahoma"/>
          <w:b/>
        </w:rPr>
        <w:t>N</w:t>
      </w:r>
      <w:r w:rsidRPr="00365BBB">
        <w:rPr>
          <w:rFonts w:ascii="Palatino Linotype" w:hAnsi="Palatino Linotype" w:cs="Tahoma"/>
          <w:b/>
        </w:rPr>
        <w:t xml:space="preserve"> </w:t>
      </w:r>
      <w:r w:rsidR="00B5279E">
        <w:rPr>
          <w:rFonts w:ascii="Palatino Linotype" w:hAnsi="Palatino Linotype" w:cs="Tahoma"/>
          <w:b/>
        </w:rPr>
        <w:t>LOS</w:t>
      </w:r>
      <w:r w:rsidRPr="00365BBB">
        <w:rPr>
          <w:rFonts w:ascii="Palatino Linotype" w:hAnsi="Palatino Linotype" w:cs="Tahoma"/>
          <w:b/>
        </w:rPr>
        <w:t xml:space="preserve"> COMISIONADO</w:t>
      </w:r>
      <w:r w:rsidR="00B5279E">
        <w:rPr>
          <w:rFonts w:ascii="Palatino Linotype" w:hAnsi="Palatino Linotype" w:cs="Tahoma"/>
          <w:b/>
        </w:rPr>
        <w:t>S JOSÉ GUADALUPE LUNA HERNÁNDEZ Y</w:t>
      </w:r>
      <w:r w:rsidRPr="00365BBB">
        <w:rPr>
          <w:rFonts w:ascii="Palatino Linotype" w:hAnsi="Palatino Linotype" w:cs="Tahoma"/>
          <w:b/>
        </w:rPr>
        <w:t xml:space="preserve"> LUIS GUSTAVO PARRA NORIEGA, EN RELACIÓN CON LA RESOLUCIÓN DEL RECURSO DE REVISIÓN</w:t>
      </w:r>
      <w:r w:rsidR="003410EA" w:rsidRPr="00365BBB">
        <w:rPr>
          <w:rFonts w:ascii="Palatino Linotype" w:hAnsi="Palatino Linotype" w:cs="Tahoma"/>
          <w:b/>
        </w:rPr>
        <w:t xml:space="preserve"> </w:t>
      </w:r>
      <w:r w:rsidR="0077488C" w:rsidRPr="00365BBB">
        <w:rPr>
          <w:rFonts w:ascii="Palatino Linotype" w:hAnsi="Palatino Linotype" w:cs="Tahoma"/>
          <w:b/>
          <w:bCs/>
          <w:lang w:val="es-MX"/>
        </w:rPr>
        <w:t>03</w:t>
      </w:r>
      <w:r w:rsidR="0067046F" w:rsidRPr="00365BBB">
        <w:rPr>
          <w:rFonts w:ascii="Palatino Linotype" w:hAnsi="Palatino Linotype" w:cs="Tahoma"/>
          <w:b/>
          <w:bCs/>
          <w:lang w:val="es-MX"/>
        </w:rPr>
        <w:t>324</w:t>
      </w:r>
      <w:r w:rsidR="0077488C" w:rsidRPr="00365BBB">
        <w:rPr>
          <w:rFonts w:ascii="Palatino Linotype" w:hAnsi="Palatino Linotype" w:cs="Tahoma"/>
          <w:b/>
          <w:bCs/>
          <w:lang w:val="es-MX"/>
        </w:rPr>
        <w:t>/INFOEM/IP/RR/2018</w:t>
      </w:r>
      <w:r w:rsidR="0067046F" w:rsidRPr="00365BBB">
        <w:rPr>
          <w:rFonts w:ascii="Palatino Linotype" w:hAnsi="Palatino Linotype" w:cs="Tahoma"/>
          <w:b/>
          <w:bCs/>
          <w:lang w:val="es-MX"/>
        </w:rPr>
        <w:t xml:space="preserve"> Y SUS ACUMULADOS,</w:t>
      </w:r>
      <w:r w:rsidR="0077488C" w:rsidRPr="00365BBB">
        <w:rPr>
          <w:rFonts w:ascii="Palatino Linotype" w:hAnsi="Palatino Linotype" w:cs="Tahoma"/>
          <w:b/>
          <w:bCs/>
          <w:lang w:val="es-MX"/>
        </w:rPr>
        <w:t xml:space="preserve"> </w:t>
      </w:r>
      <w:r w:rsidRPr="00365BBB">
        <w:rPr>
          <w:rFonts w:ascii="Palatino Linotype" w:hAnsi="Palatino Linotype" w:cs="Tahoma"/>
          <w:b/>
        </w:rPr>
        <w:t>PROMOVIDO EN CONTRA DE</w:t>
      </w:r>
      <w:r w:rsidR="0067046F" w:rsidRPr="00365BBB">
        <w:rPr>
          <w:rFonts w:ascii="Palatino Linotype" w:hAnsi="Palatino Linotype" w:cs="Tahoma"/>
          <w:b/>
        </w:rPr>
        <w:t xml:space="preserve"> LA UNIVERSIDAD POLITÉCNICA DEL VALLE DE TOLUCA</w:t>
      </w:r>
      <w:r w:rsidRPr="00365BBB">
        <w:rPr>
          <w:rFonts w:ascii="Palatino Linotype" w:hAnsi="Palatino Linotype" w:cs="Tahoma"/>
          <w:b/>
        </w:rPr>
        <w:t>.</w:t>
      </w:r>
    </w:p>
    <w:p w:rsidR="00553ADE" w:rsidRPr="00365BBB" w:rsidRDefault="00553ADE" w:rsidP="000E7B77">
      <w:pPr>
        <w:spacing w:after="0" w:line="276" w:lineRule="auto"/>
        <w:jc w:val="both"/>
        <w:rPr>
          <w:rFonts w:ascii="Palatino Linotype" w:hAnsi="Palatino Linotype" w:cs="Tahoma"/>
        </w:rPr>
      </w:pPr>
    </w:p>
    <w:p w:rsidR="00553ADE" w:rsidRPr="00365BBB" w:rsidRDefault="00553ADE" w:rsidP="000E7B77">
      <w:pPr>
        <w:spacing w:after="0" w:line="276" w:lineRule="auto"/>
        <w:jc w:val="both"/>
        <w:rPr>
          <w:rFonts w:ascii="Palatino Linotype" w:hAnsi="Palatino Linotype" w:cs="Tahoma"/>
        </w:rPr>
      </w:pPr>
      <w:r w:rsidRPr="00365BBB">
        <w:rPr>
          <w:rFonts w:ascii="Palatino Linotype" w:hAnsi="Palatino Linotype" w:cs="Tahoma"/>
        </w:rPr>
        <w:t xml:space="preserve">En términos de lo dispuesto por el artículo </w:t>
      </w:r>
      <w:r w:rsidR="00927BD1" w:rsidRPr="00365BBB">
        <w:rPr>
          <w:rFonts w:ascii="Palatino Linotype" w:hAnsi="Palatino Linotype" w:cs="Tahoma"/>
        </w:rPr>
        <w:t xml:space="preserve">189, párrafo primero, de la Ley de Transparencia y Acceso a la Información Pública del Estado de México y Municipios; </w:t>
      </w:r>
      <w:r w:rsidRPr="00365BBB">
        <w:rPr>
          <w:rFonts w:ascii="Palatino Linotype" w:hAnsi="Palatino Linotype" w:cs="Tahoma"/>
        </w:rPr>
        <w:t>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w:t>
      </w:r>
      <w:r w:rsidR="00497ADE">
        <w:rPr>
          <w:rFonts w:ascii="Palatino Linotype" w:hAnsi="Palatino Linotype" w:cs="Tahoma"/>
        </w:rPr>
        <w:t>do de México y Municipios, emitimos</w:t>
      </w:r>
      <w:r w:rsidRPr="00365BBB">
        <w:rPr>
          <w:rFonts w:ascii="Palatino Linotype" w:hAnsi="Palatino Linotype" w:cs="Tahoma"/>
        </w:rPr>
        <w:t xml:space="preserve"> el presente </w:t>
      </w:r>
      <w:r w:rsidR="00584D73" w:rsidRPr="00365BBB">
        <w:rPr>
          <w:rFonts w:ascii="Palatino Linotype" w:hAnsi="Palatino Linotype" w:cs="Tahoma"/>
          <w:b/>
        </w:rPr>
        <w:t>V</w:t>
      </w:r>
      <w:r w:rsidRPr="00365BBB">
        <w:rPr>
          <w:rFonts w:ascii="Palatino Linotype" w:hAnsi="Palatino Linotype" w:cs="Tahoma"/>
          <w:b/>
        </w:rPr>
        <w:t xml:space="preserve">oto </w:t>
      </w:r>
      <w:r w:rsidR="00584D73" w:rsidRPr="00365BBB">
        <w:rPr>
          <w:rFonts w:ascii="Palatino Linotype" w:hAnsi="Palatino Linotype" w:cs="Tahoma"/>
          <w:b/>
        </w:rPr>
        <w:t>P</w:t>
      </w:r>
      <w:r w:rsidRPr="00365BBB">
        <w:rPr>
          <w:rFonts w:ascii="Palatino Linotype" w:hAnsi="Palatino Linotype" w:cs="Tahoma"/>
          <w:b/>
        </w:rPr>
        <w:t>articular</w:t>
      </w:r>
      <w:r w:rsidR="00B5279E">
        <w:rPr>
          <w:rFonts w:ascii="Palatino Linotype" w:hAnsi="Palatino Linotype" w:cs="Tahoma"/>
          <w:b/>
        </w:rPr>
        <w:t xml:space="preserve"> Concurrente</w:t>
      </w:r>
      <w:r w:rsidRPr="00365BBB">
        <w:rPr>
          <w:rFonts w:ascii="Palatino Linotype" w:hAnsi="Palatino Linotype" w:cs="Tahoma"/>
        </w:rPr>
        <w:t xml:space="preserve"> por no compartir en su totalidad las consideraciones que sustentan la </w:t>
      </w:r>
      <w:r w:rsidR="00584D73" w:rsidRPr="00365BBB">
        <w:rPr>
          <w:rFonts w:ascii="Palatino Linotype" w:hAnsi="Palatino Linotype" w:cs="Tahoma"/>
        </w:rPr>
        <w:t>R</w:t>
      </w:r>
      <w:r w:rsidRPr="00365BBB">
        <w:rPr>
          <w:rFonts w:ascii="Palatino Linotype" w:hAnsi="Palatino Linotype" w:cs="Tahoma"/>
        </w:rPr>
        <w:t xml:space="preserve">esolución del </w:t>
      </w:r>
      <w:r w:rsidR="00584D73" w:rsidRPr="00365BBB">
        <w:rPr>
          <w:rFonts w:ascii="Palatino Linotype" w:hAnsi="Palatino Linotype" w:cs="Tahoma"/>
        </w:rPr>
        <w:t>R</w:t>
      </w:r>
      <w:r w:rsidRPr="00365BBB">
        <w:rPr>
          <w:rFonts w:ascii="Palatino Linotype" w:hAnsi="Palatino Linotype" w:cs="Tahoma"/>
        </w:rPr>
        <w:t xml:space="preserve">ecurso de </w:t>
      </w:r>
      <w:r w:rsidR="00584D73" w:rsidRPr="00365BBB">
        <w:rPr>
          <w:rFonts w:ascii="Palatino Linotype" w:hAnsi="Palatino Linotype" w:cs="Tahoma"/>
        </w:rPr>
        <w:t>R</w:t>
      </w:r>
      <w:r w:rsidRPr="00365BBB">
        <w:rPr>
          <w:rFonts w:ascii="Palatino Linotype" w:hAnsi="Palatino Linotype" w:cs="Tahoma"/>
        </w:rPr>
        <w:t xml:space="preserve">evisión </w:t>
      </w:r>
      <w:r w:rsidR="00170003" w:rsidRPr="00365BBB">
        <w:rPr>
          <w:rFonts w:ascii="Palatino Linotype" w:hAnsi="Palatino Linotype" w:cs="Tahoma"/>
        </w:rPr>
        <w:t>03061/INFOEM/IP/RR/2018</w:t>
      </w:r>
      <w:r w:rsidRPr="00365BBB">
        <w:rPr>
          <w:rFonts w:ascii="Palatino Linotype" w:hAnsi="Palatino Linotype" w:cs="Tahoma"/>
        </w:rPr>
        <w:t>.</w:t>
      </w:r>
    </w:p>
    <w:p w:rsidR="00553ADE" w:rsidRPr="00365BBB" w:rsidRDefault="00553ADE" w:rsidP="000E7B77">
      <w:pPr>
        <w:spacing w:after="0" w:line="276" w:lineRule="auto"/>
        <w:jc w:val="both"/>
        <w:rPr>
          <w:rFonts w:ascii="Palatino Linotype" w:hAnsi="Palatino Linotype" w:cs="Tahoma"/>
        </w:rPr>
      </w:pPr>
    </w:p>
    <w:p w:rsidR="00365BBB" w:rsidRPr="00AB3A4B" w:rsidRDefault="0037237D" w:rsidP="000E7B77">
      <w:pPr>
        <w:spacing w:after="0" w:line="276" w:lineRule="auto"/>
        <w:jc w:val="both"/>
        <w:rPr>
          <w:rFonts w:ascii="Palatino Linotype" w:hAnsi="Palatino Linotype" w:cs="Tahoma"/>
        </w:rPr>
      </w:pPr>
      <w:r w:rsidRPr="00365BBB">
        <w:rPr>
          <w:rFonts w:ascii="Palatino Linotype" w:hAnsi="Palatino Linotype" w:cs="Tahoma"/>
        </w:rPr>
        <w:t>E</w:t>
      </w:r>
      <w:r w:rsidR="00365BBB" w:rsidRPr="00365BBB">
        <w:rPr>
          <w:rFonts w:ascii="Palatino Linotype" w:hAnsi="Palatino Linotype" w:cs="Tahoma"/>
        </w:rPr>
        <w:t xml:space="preserve">n la solicitud de la </w:t>
      </w:r>
      <w:r w:rsidRPr="00365BBB">
        <w:rPr>
          <w:rFonts w:ascii="Palatino Linotype" w:hAnsi="Palatino Linotype" w:cs="Tahoma"/>
        </w:rPr>
        <w:t>Re</w:t>
      </w:r>
      <w:r w:rsidR="00365BBB" w:rsidRPr="00365BBB">
        <w:rPr>
          <w:rFonts w:ascii="Palatino Linotype" w:hAnsi="Palatino Linotype" w:cs="Tahoma"/>
        </w:rPr>
        <w:t>solución que nos ocupa se requirió la entrega de</w:t>
      </w:r>
      <w:r w:rsidR="00AB3A4B">
        <w:rPr>
          <w:rFonts w:ascii="Palatino Linotype" w:hAnsi="Palatino Linotype" w:cs="Tahoma"/>
        </w:rPr>
        <w:t>:</w:t>
      </w:r>
    </w:p>
    <w:p w:rsidR="00365BBB" w:rsidRDefault="00365BBB" w:rsidP="000E7B77">
      <w:pPr>
        <w:spacing w:after="0" w:line="276" w:lineRule="auto"/>
        <w:jc w:val="both"/>
        <w:rPr>
          <w:rFonts w:ascii="Palatino Linotype" w:hAnsi="Palatino Linotype" w:cs="Tahoma"/>
          <w:sz w:val="24"/>
          <w:szCs w:val="24"/>
        </w:rPr>
      </w:pPr>
    </w:p>
    <w:p w:rsidR="00365BBB" w:rsidRPr="00365BBB" w:rsidRDefault="00365BBB" w:rsidP="00365BBB">
      <w:pPr>
        <w:spacing w:after="0" w:line="276" w:lineRule="auto"/>
        <w:ind w:left="567" w:right="567"/>
        <w:jc w:val="both"/>
        <w:rPr>
          <w:rFonts w:ascii="Palatino Linotype" w:hAnsi="Palatino Linotype" w:cs="Tahoma"/>
          <w:sz w:val="20"/>
          <w:szCs w:val="20"/>
        </w:rPr>
      </w:pPr>
      <w:r w:rsidRPr="00365BBB">
        <w:rPr>
          <w:rFonts w:ascii="Palatino Linotype" w:hAnsi="Palatino Linotype" w:cs="Tahoma"/>
          <w:sz w:val="20"/>
          <w:szCs w:val="20"/>
        </w:rPr>
        <w:t xml:space="preserve">“Indicar las matriculas y números de empleado que fueron </w:t>
      </w:r>
      <w:proofErr w:type="spellStart"/>
      <w:r w:rsidRPr="00365BBB">
        <w:rPr>
          <w:rFonts w:ascii="Palatino Linotype" w:hAnsi="Palatino Linotype" w:cs="Tahoma"/>
          <w:sz w:val="20"/>
          <w:szCs w:val="20"/>
        </w:rPr>
        <w:t>credencializados</w:t>
      </w:r>
      <w:proofErr w:type="spellEnd"/>
      <w:r w:rsidRPr="00365BBB">
        <w:rPr>
          <w:rFonts w:ascii="Palatino Linotype" w:hAnsi="Palatino Linotype" w:cs="Tahoma"/>
          <w:sz w:val="20"/>
          <w:szCs w:val="20"/>
        </w:rPr>
        <w:t xml:space="preserve"> en el año 2006 y 2007, indicando </w:t>
      </w:r>
      <w:proofErr w:type="spellStart"/>
      <w:r w:rsidRPr="00365BBB">
        <w:rPr>
          <w:rFonts w:ascii="Palatino Linotype" w:hAnsi="Palatino Linotype" w:cs="Tahoma"/>
          <w:sz w:val="20"/>
          <w:szCs w:val="20"/>
        </w:rPr>
        <w:t>ademas</w:t>
      </w:r>
      <w:proofErr w:type="spellEnd"/>
      <w:r w:rsidRPr="00365BBB">
        <w:rPr>
          <w:rFonts w:ascii="Palatino Linotype" w:hAnsi="Palatino Linotype" w:cs="Tahoma"/>
          <w:sz w:val="20"/>
          <w:szCs w:val="20"/>
        </w:rPr>
        <w:t xml:space="preserve"> el nombre del programa educativo y área a la que pertenecían o pertenecen, y el nombre del proveedor del servicio, así como la factura del (los) pago(s) correspondiente(s), información que debe ser entregada por cuatrimestre del año indicado.” (</w:t>
      </w:r>
      <w:r w:rsidR="00101D49" w:rsidRPr="00101D49">
        <w:rPr>
          <w:rFonts w:ascii="Palatino Linotype" w:hAnsi="Palatino Linotype" w:cs="Tahoma"/>
          <w:i/>
          <w:sz w:val="20"/>
          <w:szCs w:val="20"/>
        </w:rPr>
        <w:t>S</w:t>
      </w:r>
      <w:r w:rsidRPr="00101D49">
        <w:rPr>
          <w:rFonts w:ascii="Palatino Linotype" w:hAnsi="Palatino Linotype" w:cs="Tahoma"/>
          <w:i/>
          <w:sz w:val="20"/>
          <w:szCs w:val="20"/>
        </w:rPr>
        <w:t>ic</w:t>
      </w:r>
      <w:r w:rsidR="00101D49" w:rsidRPr="00101D49">
        <w:rPr>
          <w:rFonts w:ascii="Palatino Linotype" w:hAnsi="Palatino Linotype" w:cs="Tahoma"/>
          <w:i/>
          <w:sz w:val="20"/>
          <w:szCs w:val="20"/>
        </w:rPr>
        <w:t>.</w:t>
      </w:r>
      <w:r w:rsidRPr="00365BBB">
        <w:rPr>
          <w:rFonts w:ascii="Palatino Linotype" w:hAnsi="Palatino Linotype" w:cs="Tahoma"/>
          <w:sz w:val="20"/>
          <w:szCs w:val="20"/>
        </w:rPr>
        <w:t>)</w:t>
      </w:r>
    </w:p>
    <w:p w:rsidR="00365BBB" w:rsidRDefault="00365BBB" w:rsidP="000E7B77">
      <w:pPr>
        <w:spacing w:after="0" w:line="276" w:lineRule="auto"/>
        <w:jc w:val="both"/>
        <w:rPr>
          <w:rFonts w:ascii="Palatino Linotype" w:hAnsi="Palatino Linotype" w:cs="Tahoma"/>
          <w:sz w:val="24"/>
          <w:szCs w:val="24"/>
        </w:rPr>
      </w:pPr>
    </w:p>
    <w:p w:rsidR="00EC7AE6" w:rsidRDefault="00AB3A4B" w:rsidP="000E7B77">
      <w:pPr>
        <w:spacing w:after="0" w:line="276" w:lineRule="auto"/>
        <w:jc w:val="both"/>
        <w:rPr>
          <w:rFonts w:ascii="Palatino Linotype" w:hAnsi="Palatino Linotype" w:cs="Tahoma"/>
        </w:rPr>
      </w:pPr>
      <w:r>
        <w:rPr>
          <w:rFonts w:ascii="Palatino Linotype" w:hAnsi="Palatino Linotype" w:cs="Tahoma"/>
        </w:rPr>
        <w:t>El resto de las solicitudes versó sobre los mismos documentos de diversos años: en su respuesta, el Sujeto Obligado entregó diversos documentos</w:t>
      </w:r>
      <w:r w:rsidR="00EC7AE6">
        <w:rPr>
          <w:rFonts w:ascii="Palatino Linotype" w:hAnsi="Palatino Linotype" w:cs="Tahoma"/>
        </w:rPr>
        <w:t>, algunos de ellos en versión pública</w:t>
      </w:r>
      <w:r>
        <w:rPr>
          <w:rFonts w:ascii="Palatino Linotype" w:hAnsi="Palatino Linotype" w:cs="Tahoma"/>
        </w:rPr>
        <w:t xml:space="preserve"> y el particular se inconformó por la negativa a entregar la información solicitada, motivo por el cual la Ponencia Resolutora analiz</w:t>
      </w:r>
      <w:r w:rsidR="00F80FBC">
        <w:rPr>
          <w:rFonts w:ascii="Palatino Linotype" w:hAnsi="Palatino Linotype" w:cs="Tahoma"/>
        </w:rPr>
        <w:t>ó</w:t>
      </w:r>
      <w:r>
        <w:rPr>
          <w:rFonts w:ascii="Palatino Linotype" w:hAnsi="Palatino Linotype" w:cs="Tahoma"/>
        </w:rPr>
        <w:t xml:space="preserve"> la naturaleza de la información </w:t>
      </w:r>
      <w:r w:rsidR="00F80FBC">
        <w:rPr>
          <w:rFonts w:ascii="Palatino Linotype" w:hAnsi="Palatino Linotype" w:cs="Tahoma"/>
        </w:rPr>
        <w:t>e instruyó</w:t>
      </w:r>
      <w:r w:rsidR="00EC7AE6">
        <w:rPr>
          <w:rFonts w:ascii="Palatino Linotype" w:hAnsi="Palatino Linotype" w:cs="Tahoma"/>
        </w:rPr>
        <w:t xml:space="preserve"> la entrega de la información que no se entregó hac</w:t>
      </w:r>
      <w:r w:rsidR="00F80FBC">
        <w:rPr>
          <w:rFonts w:ascii="Palatino Linotype" w:hAnsi="Palatino Linotype" w:cs="Tahoma"/>
        </w:rPr>
        <w:t>iendo</w:t>
      </w:r>
      <w:r w:rsidR="00EC7AE6">
        <w:rPr>
          <w:rFonts w:ascii="Palatino Linotype" w:hAnsi="Palatino Linotype" w:cs="Tahoma"/>
        </w:rPr>
        <w:t xml:space="preserve"> un pronunciamiento respecto de la elaboración de las versiones públicas en el sentido de que el R</w:t>
      </w:r>
      <w:r w:rsidR="00F80FBC">
        <w:rPr>
          <w:rFonts w:ascii="Palatino Linotype" w:hAnsi="Palatino Linotype" w:cs="Tahoma"/>
        </w:rPr>
        <w:t xml:space="preserve">egistro </w:t>
      </w:r>
      <w:r w:rsidR="00EC7AE6">
        <w:rPr>
          <w:rFonts w:ascii="Palatino Linotype" w:hAnsi="Palatino Linotype" w:cs="Tahoma"/>
        </w:rPr>
        <w:t>F</w:t>
      </w:r>
      <w:r w:rsidR="00F80FBC">
        <w:rPr>
          <w:rFonts w:ascii="Palatino Linotype" w:hAnsi="Palatino Linotype" w:cs="Tahoma"/>
        </w:rPr>
        <w:t>ederal de Contribuyentes</w:t>
      </w:r>
      <w:r w:rsidR="00EC7AE6">
        <w:rPr>
          <w:rFonts w:ascii="Palatino Linotype" w:hAnsi="Palatino Linotype" w:cs="Tahoma"/>
        </w:rPr>
        <w:t xml:space="preserve"> </w:t>
      </w:r>
      <w:r w:rsidR="00F80FBC">
        <w:rPr>
          <w:rFonts w:ascii="Palatino Linotype" w:hAnsi="Palatino Linotype" w:cs="Tahoma"/>
        </w:rPr>
        <w:t xml:space="preserve">(R.F.C.) de </w:t>
      </w:r>
      <w:r w:rsidR="008B5A5A">
        <w:rPr>
          <w:rFonts w:ascii="Palatino Linotype" w:hAnsi="Palatino Linotype" w:cs="Tahoma"/>
        </w:rPr>
        <w:t xml:space="preserve">personas físicas </w:t>
      </w:r>
      <w:r w:rsidR="00F80FBC">
        <w:rPr>
          <w:rFonts w:ascii="Palatino Linotype" w:hAnsi="Palatino Linotype" w:cs="Tahoma"/>
        </w:rPr>
        <w:t xml:space="preserve">en su carácter </w:t>
      </w:r>
      <w:r w:rsidR="00F80FBC">
        <w:rPr>
          <w:rFonts w:ascii="Palatino Linotype" w:hAnsi="Palatino Linotype" w:cs="Tahoma"/>
        </w:rPr>
        <w:t xml:space="preserve">de proveedores </w:t>
      </w:r>
      <w:r w:rsidR="00EC7AE6">
        <w:rPr>
          <w:rFonts w:ascii="Palatino Linotype" w:hAnsi="Palatino Linotype" w:cs="Tahoma"/>
        </w:rPr>
        <w:t xml:space="preserve">es información </w:t>
      </w:r>
      <w:r w:rsidR="00EC7AE6">
        <w:rPr>
          <w:rFonts w:ascii="Palatino Linotype" w:hAnsi="Palatino Linotype" w:cs="Tahoma"/>
        </w:rPr>
        <w:lastRenderedPageBreak/>
        <w:t xml:space="preserve">clasificada, motivo por el cual determina dar vista al </w:t>
      </w:r>
      <w:r w:rsidR="008B5A5A" w:rsidRPr="008B5A5A">
        <w:rPr>
          <w:rFonts w:ascii="Palatino Linotype" w:hAnsi="Palatino Linotype" w:cs="Tahoma"/>
        </w:rPr>
        <w:t xml:space="preserve">Contralor Interno de este Instituto </w:t>
      </w:r>
      <w:r w:rsidR="00EC7AE6">
        <w:rPr>
          <w:rFonts w:ascii="Palatino Linotype" w:hAnsi="Palatino Linotype" w:cs="Tahoma"/>
        </w:rPr>
        <w:t>como se muestra a continuación:</w:t>
      </w:r>
    </w:p>
    <w:p w:rsidR="008B5A5A" w:rsidRDefault="008B5A5A" w:rsidP="000E7B77">
      <w:pPr>
        <w:spacing w:after="0" w:line="276" w:lineRule="auto"/>
        <w:jc w:val="both"/>
        <w:rPr>
          <w:rFonts w:ascii="Palatino Linotype" w:hAnsi="Palatino Linotype" w:cs="Tahoma"/>
        </w:rPr>
      </w:pPr>
    </w:p>
    <w:p w:rsidR="008B5A5A" w:rsidRPr="00027B01" w:rsidRDefault="00F80FBC" w:rsidP="008B5A5A">
      <w:pPr>
        <w:spacing w:before="240" w:after="240" w:line="360" w:lineRule="auto"/>
        <w:ind w:left="567" w:right="567"/>
        <w:jc w:val="both"/>
        <w:rPr>
          <w:rFonts w:ascii="Palatino Linotype" w:hAnsi="Palatino Linotype"/>
          <w:sz w:val="20"/>
          <w:szCs w:val="20"/>
          <w:lang w:eastAsia="es-MX"/>
        </w:rPr>
      </w:pPr>
      <w:r>
        <w:rPr>
          <w:rFonts w:ascii="Palatino Linotype" w:hAnsi="Palatino Linotype"/>
          <w:sz w:val="20"/>
          <w:szCs w:val="20"/>
          <w:lang w:eastAsia="es-MX"/>
        </w:rPr>
        <w:t>“</w:t>
      </w:r>
      <w:r w:rsidR="008B5A5A" w:rsidRPr="00027B01">
        <w:rPr>
          <w:rFonts w:ascii="Palatino Linotype" w:hAnsi="Palatino Linotype"/>
          <w:sz w:val="20"/>
          <w:szCs w:val="20"/>
          <w:lang w:eastAsia="es-MX"/>
        </w:rPr>
        <w:t>Sin embargo, por cuanto hace a las facturas remitidas por el mismo periodo de búsqueda, el Departamento de Recursos Financieros indicó que se anexaban en versión pública las facturas por concepto de pago de credenciales del mes de febrero de 2011 al mes de mayo de 2018, las cuales al ser consultadas por este Órgano Garante no se encuentran es estricto apego a las leyes en materia de transparencia y protección de datos personales, puesto que se dejaron datos personales visibles de algunos proveedores que ostentan la calidad de persona física, como lo son el RFC, el cual ha sido criterio de este Pleno proteger, en consecuencia, este Órgano Garante y de conformidad con el artículo 190 de la Ley de Transparencia y Acceso a la Información Pública del Estado de México y Municipios, ordena se de vista al Titular de la Contraloría Interna y Órgano de Control y Vigilancia de este Instituto a fin de que en ejercicio de sus funciones determine lo conducente.</w:t>
      </w:r>
      <w:r>
        <w:rPr>
          <w:rFonts w:ascii="Palatino Linotype" w:hAnsi="Palatino Linotype"/>
          <w:sz w:val="20"/>
          <w:szCs w:val="20"/>
          <w:lang w:eastAsia="es-MX"/>
        </w:rPr>
        <w:t>”</w:t>
      </w:r>
    </w:p>
    <w:p w:rsidR="00F7229D" w:rsidRDefault="0037237D" w:rsidP="000E7B77">
      <w:pPr>
        <w:spacing w:after="0" w:line="276" w:lineRule="auto"/>
        <w:jc w:val="both"/>
        <w:rPr>
          <w:rFonts w:ascii="Palatino Linotype" w:hAnsi="Palatino Linotype" w:cs="Tahoma"/>
        </w:rPr>
      </w:pPr>
      <w:r w:rsidRPr="00365BBB">
        <w:rPr>
          <w:rFonts w:ascii="Palatino Linotype" w:hAnsi="Palatino Linotype" w:cs="Tahoma"/>
        </w:rPr>
        <w:t xml:space="preserve">En </w:t>
      </w:r>
      <w:r w:rsidR="00B5279E">
        <w:rPr>
          <w:rFonts w:ascii="Palatino Linotype" w:hAnsi="Palatino Linotype" w:cs="Tahoma"/>
        </w:rPr>
        <w:t>efecto</w:t>
      </w:r>
      <w:r w:rsidRPr="00365BBB">
        <w:rPr>
          <w:rFonts w:ascii="Palatino Linotype" w:hAnsi="Palatino Linotype" w:cs="Tahoma"/>
        </w:rPr>
        <w:t xml:space="preserve">, mediante un análisis </w:t>
      </w:r>
      <w:r w:rsidR="008B5A5A">
        <w:rPr>
          <w:rFonts w:ascii="Palatino Linotype" w:hAnsi="Palatino Linotype" w:cs="Tahoma"/>
        </w:rPr>
        <w:t>exhaustivo,</w:t>
      </w:r>
      <w:r w:rsidRPr="00365BBB">
        <w:rPr>
          <w:rFonts w:ascii="Palatino Linotype" w:hAnsi="Palatino Linotype" w:cs="Tahoma"/>
        </w:rPr>
        <w:t xml:space="preserve"> </w:t>
      </w:r>
      <w:r w:rsidR="008B5A5A">
        <w:rPr>
          <w:rFonts w:ascii="Palatino Linotype" w:hAnsi="Palatino Linotype" w:cs="Tahoma"/>
        </w:rPr>
        <w:t>el</w:t>
      </w:r>
      <w:r w:rsidRPr="00365BBB">
        <w:rPr>
          <w:rFonts w:ascii="Palatino Linotype" w:hAnsi="Palatino Linotype" w:cs="Tahoma"/>
        </w:rPr>
        <w:t xml:space="preserve"> Comisionad</w:t>
      </w:r>
      <w:r w:rsidR="00C66349">
        <w:rPr>
          <w:rFonts w:ascii="Palatino Linotype" w:hAnsi="Palatino Linotype" w:cs="Tahoma"/>
        </w:rPr>
        <w:t>o</w:t>
      </w:r>
      <w:r w:rsidRPr="00365BBB">
        <w:rPr>
          <w:rFonts w:ascii="Palatino Linotype" w:hAnsi="Palatino Linotype" w:cs="Tahoma"/>
        </w:rPr>
        <w:t xml:space="preserve"> Ponente </w:t>
      </w:r>
      <w:r w:rsidR="00092DF2" w:rsidRPr="00365BBB">
        <w:rPr>
          <w:rFonts w:ascii="Palatino Linotype" w:hAnsi="Palatino Linotype" w:cs="Tahoma"/>
        </w:rPr>
        <w:t xml:space="preserve">advirtió que el Sujeto Obligado, efectivamente </w:t>
      </w:r>
      <w:r w:rsidR="00F7229D">
        <w:rPr>
          <w:rFonts w:ascii="Palatino Linotype" w:hAnsi="Palatino Linotype" w:cs="Tahoma"/>
        </w:rPr>
        <w:t>entregó versiones públicas de las facturas solicitadas, pero determi</w:t>
      </w:r>
      <w:r w:rsidR="00092DF2" w:rsidRPr="00365BBB">
        <w:rPr>
          <w:rFonts w:ascii="Palatino Linotype" w:hAnsi="Palatino Linotype" w:cs="Tahoma"/>
        </w:rPr>
        <w:t>n</w:t>
      </w:r>
      <w:r w:rsidR="00F7229D">
        <w:rPr>
          <w:rFonts w:ascii="Palatino Linotype" w:hAnsi="Palatino Linotype" w:cs="Tahoma"/>
        </w:rPr>
        <w:t>ó que el R</w:t>
      </w:r>
      <w:r w:rsidR="00F80FBC">
        <w:rPr>
          <w:rFonts w:ascii="Palatino Linotype" w:hAnsi="Palatino Linotype" w:cs="Tahoma"/>
        </w:rPr>
        <w:t>.</w:t>
      </w:r>
      <w:r w:rsidR="00F7229D">
        <w:rPr>
          <w:rFonts w:ascii="Palatino Linotype" w:hAnsi="Palatino Linotype" w:cs="Tahoma"/>
        </w:rPr>
        <w:t>F</w:t>
      </w:r>
      <w:r w:rsidR="00F80FBC">
        <w:rPr>
          <w:rFonts w:ascii="Palatino Linotype" w:hAnsi="Palatino Linotype" w:cs="Tahoma"/>
        </w:rPr>
        <w:t>.</w:t>
      </w:r>
      <w:r w:rsidR="00F7229D">
        <w:rPr>
          <w:rFonts w:ascii="Palatino Linotype" w:hAnsi="Palatino Linotype" w:cs="Tahoma"/>
        </w:rPr>
        <w:t>C</w:t>
      </w:r>
      <w:r w:rsidR="00F80FBC">
        <w:rPr>
          <w:rFonts w:ascii="Palatino Linotype" w:hAnsi="Palatino Linotype" w:cs="Tahoma"/>
        </w:rPr>
        <w:t>.</w:t>
      </w:r>
      <w:r w:rsidR="00F7229D">
        <w:rPr>
          <w:rFonts w:ascii="Palatino Linotype" w:hAnsi="Palatino Linotype" w:cs="Tahoma"/>
        </w:rPr>
        <w:t xml:space="preserve"> de personas físicas es información confidencial que no debió otorgarse al ahora</w:t>
      </w:r>
      <w:r w:rsidR="00B5279E">
        <w:rPr>
          <w:rFonts w:ascii="Palatino Linotype" w:hAnsi="Palatino Linotype" w:cs="Tahoma"/>
        </w:rPr>
        <w:t xml:space="preserve"> recurrente, motivo por el cual, además </w:t>
      </w:r>
      <w:r w:rsidR="00F80FBC">
        <w:rPr>
          <w:rFonts w:ascii="Palatino Linotype" w:hAnsi="Palatino Linotype" w:cs="Tahoma"/>
        </w:rPr>
        <w:t>requirió</w:t>
      </w:r>
      <w:r w:rsidR="00F7229D">
        <w:rPr>
          <w:rFonts w:ascii="Palatino Linotype" w:hAnsi="Palatino Linotype" w:cs="Tahoma"/>
        </w:rPr>
        <w:t xml:space="preserve"> la intervención del Contralor Interno de este Instituto</w:t>
      </w:r>
      <w:r w:rsidR="00B5279E">
        <w:rPr>
          <w:rFonts w:ascii="Palatino Linotype" w:hAnsi="Palatino Linotype" w:cs="Tahoma"/>
        </w:rPr>
        <w:t>; sin embargo, los suscritos hemos precisado que, desde nuestra perspectiva el R</w:t>
      </w:r>
      <w:r w:rsidR="00F80FBC">
        <w:rPr>
          <w:rFonts w:ascii="Palatino Linotype" w:hAnsi="Palatino Linotype" w:cs="Tahoma"/>
        </w:rPr>
        <w:t>.</w:t>
      </w:r>
      <w:r w:rsidR="00B5279E">
        <w:rPr>
          <w:rFonts w:ascii="Palatino Linotype" w:hAnsi="Palatino Linotype" w:cs="Tahoma"/>
        </w:rPr>
        <w:t>F</w:t>
      </w:r>
      <w:r w:rsidR="00F80FBC">
        <w:rPr>
          <w:rFonts w:ascii="Palatino Linotype" w:hAnsi="Palatino Linotype" w:cs="Tahoma"/>
        </w:rPr>
        <w:t>.</w:t>
      </w:r>
      <w:r w:rsidR="00B5279E">
        <w:rPr>
          <w:rFonts w:ascii="Palatino Linotype" w:hAnsi="Palatino Linotype" w:cs="Tahoma"/>
        </w:rPr>
        <w:t>C</w:t>
      </w:r>
      <w:r w:rsidR="00F80FBC">
        <w:rPr>
          <w:rFonts w:ascii="Palatino Linotype" w:hAnsi="Palatino Linotype" w:cs="Tahoma"/>
        </w:rPr>
        <w:t>.</w:t>
      </w:r>
      <w:r w:rsidR="00B5279E">
        <w:rPr>
          <w:rFonts w:ascii="Palatino Linotype" w:hAnsi="Palatino Linotype" w:cs="Tahoma"/>
        </w:rPr>
        <w:t xml:space="preserve"> de cualquier proveedor o contratista de las instituciones públicas de la Entidad, debe ser público aun tratándose de personas físicas en virtud de que el pago de los bienes y servicios que entregan o prestan se realiza con recursos públicos.</w:t>
      </w:r>
    </w:p>
    <w:p w:rsidR="00F7229D" w:rsidRDefault="00F7229D" w:rsidP="000E7B77">
      <w:pPr>
        <w:spacing w:after="0" w:line="276" w:lineRule="auto"/>
        <w:jc w:val="both"/>
        <w:rPr>
          <w:rFonts w:ascii="Palatino Linotype" w:hAnsi="Palatino Linotype" w:cs="Tahoma"/>
        </w:rPr>
      </w:pPr>
    </w:p>
    <w:p w:rsidR="00741E70" w:rsidRPr="008B19C4" w:rsidRDefault="00741E70" w:rsidP="000E7B77">
      <w:pPr>
        <w:spacing w:after="0" w:line="276" w:lineRule="auto"/>
        <w:jc w:val="both"/>
        <w:rPr>
          <w:rFonts w:ascii="Palatino Linotype" w:hAnsi="Palatino Linotype" w:cs="Arial"/>
        </w:rPr>
      </w:pPr>
      <w:r w:rsidRPr="00365BBB">
        <w:rPr>
          <w:rFonts w:ascii="Palatino Linotype" w:hAnsi="Palatino Linotype" w:cs="Arial"/>
        </w:rPr>
        <w:t>Lo anterior es así</w:t>
      </w:r>
      <w:r w:rsidR="005C225B" w:rsidRPr="00365BBB">
        <w:rPr>
          <w:rFonts w:ascii="Palatino Linotype" w:hAnsi="Palatino Linotype" w:cs="Arial"/>
        </w:rPr>
        <w:t>,</w:t>
      </w:r>
      <w:r w:rsidRPr="00365BBB">
        <w:rPr>
          <w:rFonts w:ascii="Palatino Linotype" w:hAnsi="Palatino Linotype" w:cs="Arial"/>
        </w:rPr>
        <w:t xml:space="preserve"> toda vez que las personas físicas tramitan su inscripción en el Registro Federal de Contribuyentes con el propósito de realizar mediante esa clave de identificación, operaciones o actividades de naturaleza fiscal</w:t>
      </w:r>
      <w:r w:rsidR="005C225B" w:rsidRPr="00365BBB">
        <w:rPr>
          <w:rFonts w:ascii="Palatino Linotype" w:hAnsi="Palatino Linotype" w:cs="Arial"/>
        </w:rPr>
        <w:t xml:space="preserve"> (directamente está vinculada con el pago de contribuciones federales)</w:t>
      </w:r>
      <w:r w:rsidRPr="00365BBB">
        <w:rPr>
          <w:rFonts w:ascii="Palatino Linotype" w:hAnsi="Palatino Linotype" w:cs="Arial"/>
        </w:rPr>
        <w:t xml:space="preserve">; por lo que, esta clave es necesario entregarla a cualquier persona física o jurídico colectiva con la que se pretenda tener una relación comercial o profesional, </w:t>
      </w:r>
      <w:r w:rsidRPr="00365BBB">
        <w:rPr>
          <w:rFonts w:ascii="Palatino Linotype" w:hAnsi="Palatino Linotype" w:cs="Arial"/>
        </w:rPr>
        <w:lastRenderedPageBreak/>
        <w:t>que implique un pago como contraprestación o remuneración</w:t>
      </w:r>
      <w:r w:rsidR="008B19C4">
        <w:rPr>
          <w:rFonts w:ascii="Palatino Linotype" w:hAnsi="Palatino Linotype" w:cs="Arial"/>
        </w:rPr>
        <w:t xml:space="preserve">, para el caso que nos ocupa, es requisito </w:t>
      </w:r>
      <w:r w:rsidR="008B19C4">
        <w:rPr>
          <w:rFonts w:ascii="Palatino Linotype" w:hAnsi="Palatino Linotype" w:cs="Arial"/>
          <w:i/>
        </w:rPr>
        <w:t>sine qua non</w:t>
      </w:r>
      <w:r w:rsidR="008B19C4">
        <w:rPr>
          <w:rFonts w:ascii="Palatino Linotype" w:hAnsi="Palatino Linotype" w:cs="Arial"/>
        </w:rPr>
        <w:t>, estar dado de alta ante la Secretaría de Hacienda y Crédito Público, para poder participar en cualquier adjudicación gubernamental.</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 xml:space="preserve">En este sentido, en el caso de que el </w:t>
      </w:r>
      <w:r w:rsidR="00963951">
        <w:rPr>
          <w:rFonts w:ascii="Palatino Linotype" w:hAnsi="Palatino Linotype" w:cs="Arial"/>
        </w:rPr>
        <w:t>proveedor</w:t>
      </w:r>
      <w:r w:rsidRPr="00365BBB">
        <w:rPr>
          <w:rFonts w:ascii="Palatino Linotype" w:hAnsi="Palatino Linotype" w:cs="Arial"/>
        </w:rPr>
        <w:t xml:space="preserve"> </w:t>
      </w:r>
      <w:r w:rsidR="00A37655" w:rsidRPr="00365BBB">
        <w:rPr>
          <w:rFonts w:ascii="Palatino Linotype" w:hAnsi="Palatino Linotype" w:cs="Arial"/>
        </w:rPr>
        <w:t>con el que</w:t>
      </w:r>
      <w:r w:rsidRPr="00365BBB">
        <w:rPr>
          <w:rFonts w:ascii="Palatino Linotype" w:hAnsi="Palatino Linotype" w:cs="Arial"/>
        </w:rPr>
        <w:t xml:space="preserve"> cualquier </w:t>
      </w:r>
      <w:r w:rsidR="00A37655" w:rsidRPr="00365BBB">
        <w:rPr>
          <w:rFonts w:ascii="Palatino Linotype" w:hAnsi="Palatino Linotype" w:cs="Arial"/>
        </w:rPr>
        <w:t>S</w:t>
      </w:r>
      <w:r w:rsidRPr="00365BBB">
        <w:rPr>
          <w:rFonts w:ascii="Palatino Linotype" w:hAnsi="Palatino Linotype" w:cs="Arial"/>
        </w:rPr>
        <w:t xml:space="preserve">ujeto </w:t>
      </w:r>
      <w:r w:rsidR="00A37655" w:rsidRPr="00365BBB">
        <w:rPr>
          <w:rFonts w:ascii="Palatino Linotype" w:hAnsi="Palatino Linotype" w:cs="Arial"/>
        </w:rPr>
        <w:t>O</w:t>
      </w:r>
      <w:r w:rsidRPr="00365BBB">
        <w:rPr>
          <w:rFonts w:ascii="Palatino Linotype" w:hAnsi="Palatino Linotype" w:cs="Arial"/>
        </w:rPr>
        <w:t>bligado por la Ley de Transparencia y Acceso a la Información Pública del Estado de México y Munic</w:t>
      </w:r>
      <w:r w:rsidR="00F80FBC">
        <w:rPr>
          <w:rFonts w:ascii="Palatino Linotype" w:hAnsi="Palatino Linotype" w:cs="Arial"/>
        </w:rPr>
        <w:t>ipios, sea una persona física, é</w:t>
      </w:r>
      <w:r w:rsidRPr="00365BBB">
        <w:rPr>
          <w:rFonts w:ascii="Palatino Linotype" w:hAnsi="Palatino Linotype" w:cs="Arial"/>
        </w:rPr>
        <w:t xml:space="preserve">sta debe cumplir con los requisitos establecidos en los artículos 29 y 32 del Reglamento de la Ley de Contratación Pública del Estado de México y Municipios; es decir, para que las personas puedan participar en actos de adquisición o de contratación de servicios que requieran las dependencias, organismos auxiliares y </w:t>
      </w:r>
      <w:r w:rsidR="00F80FBC" w:rsidRPr="00365BBB">
        <w:rPr>
          <w:rFonts w:ascii="Palatino Linotype" w:hAnsi="Palatino Linotype" w:cs="Arial"/>
        </w:rPr>
        <w:t xml:space="preserve">Tribunales </w:t>
      </w:r>
      <w:r w:rsidRPr="00365BBB">
        <w:rPr>
          <w:rFonts w:ascii="Palatino Linotype" w:hAnsi="Palatino Linotype" w:cs="Arial"/>
        </w:rPr>
        <w:t>administrativos, deberán presentar, entre otras cosas, la cédula de identificación fiscal (Registro Federal de Contribuyentes); por lo que la entrega de dicho dato en las facturas</w:t>
      </w:r>
      <w:r w:rsidR="000E1146" w:rsidRPr="00365BBB">
        <w:rPr>
          <w:rFonts w:ascii="Palatino Linotype" w:hAnsi="Palatino Linotype" w:cs="Arial"/>
        </w:rPr>
        <w:t xml:space="preserve">, contratos o documentos que transparenten el ejercicio de recursos públicos en contrataciones de obra pública, </w:t>
      </w:r>
      <w:r w:rsidRPr="00365BBB">
        <w:rPr>
          <w:rFonts w:ascii="Palatino Linotype" w:hAnsi="Palatino Linotype" w:cs="Arial"/>
        </w:rPr>
        <w:t>permite verificar cumplimiento de esta disposición legal.</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 xml:space="preserve">Por lo tanto, en el presente caso, si bien el Registro Federal de Contribuyentes de personas físicas es un dato personal, también lo es, que corresponde a un requisito indispensable para ser </w:t>
      </w:r>
      <w:r w:rsidR="000E1146" w:rsidRPr="00365BBB">
        <w:rPr>
          <w:rFonts w:ascii="Palatino Linotype" w:hAnsi="Palatino Linotype" w:cs="Arial"/>
        </w:rPr>
        <w:t xml:space="preserve">contratista </w:t>
      </w:r>
      <w:r w:rsidRPr="00365BBB">
        <w:rPr>
          <w:rFonts w:ascii="Palatino Linotype" w:hAnsi="Palatino Linotype" w:cs="Arial"/>
        </w:rPr>
        <w:t xml:space="preserve">y poder llevar a cabo actividades comerciales con los </w:t>
      </w:r>
      <w:r w:rsidR="00FC392D" w:rsidRPr="00365BBB">
        <w:rPr>
          <w:rFonts w:ascii="Palatino Linotype" w:hAnsi="Palatino Linotype" w:cs="Arial"/>
        </w:rPr>
        <w:t>s</w:t>
      </w:r>
      <w:r w:rsidRPr="00365BBB">
        <w:rPr>
          <w:rFonts w:ascii="Palatino Linotype" w:hAnsi="Palatino Linotype" w:cs="Arial"/>
        </w:rPr>
        <w:t xml:space="preserve">ujetos </w:t>
      </w:r>
      <w:r w:rsidR="00FC392D" w:rsidRPr="00365BBB">
        <w:rPr>
          <w:rFonts w:ascii="Palatino Linotype" w:hAnsi="Palatino Linotype" w:cs="Arial"/>
        </w:rPr>
        <w:t>o</w:t>
      </w:r>
      <w:r w:rsidRPr="00365BBB">
        <w:rPr>
          <w:rFonts w:ascii="Palatino Linotype" w:hAnsi="Palatino Linotype" w:cs="Arial"/>
        </w:rPr>
        <w:t xml:space="preserve">bligados de la Entidad, ya que sin este, no se pueden realizar dichas actividades, por lo que su entrega es un elemento adicional que respalda la legalidad de los procesos </w:t>
      </w:r>
      <w:r w:rsidR="005B7EB8" w:rsidRPr="00365BBB">
        <w:rPr>
          <w:rFonts w:ascii="Palatino Linotype" w:hAnsi="Palatino Linotype" w:cs="Arial"/>
        </w:rPr>
        <w:t>de contratación de obra pública</w:t>
      </w:r>
      <w:r w:rsidRPr="00365BBB">
        <w:rPr>
          <w:rFonts w:ascii="Palatino Linotype" w:hAnsi="Palatino Linotype" w:cs="Arial"/>
        </w:rPr>
        <w:t>.</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963951">
      <w:pPr>
        <w:spacing w:after="0" w:line="276" w:lineRule="auto"/>
        <w:jc w:val="both"/>
        <w:rPr>
          <w:rFonts w:ascii="Palatino Linotype" w:hAnsi="Palatino Linotype" w:cs="Arial"/>
        </w:rPr>
      </w:pPr>
      <w:r w:rsidRPr="00365BBB">
        <w:rPr>
          <w:rFonts w:ascii="Palatino Linotype" w:hAnsi="Palatino Linotype" w:cs="Arial"/>
        </w:rPr>
        <w:t>En ese contexto, entregar el Registro Federal de Contribuyentes aún</w:t>
      </w:r>
      <w:r w:rsidR="00FC392D" w:rsidRPr="00365BBB">
        <w:rPr>
          <w:rFonts w:ascii="Palatino Linotype" w:hAnsi="Palatino Linotype" w:cs="Arial"/>
        </w:rPr>
        <w:t xml:space="preserve"> de personas físicas cuando aceptan </w:t>
      </w:r>
      <w:r w:rsidR="00963951">
        <w:rPr>
          <w:rFonts w:ascii="Palatino Linotype" w:hAnsi="Palatino Linotype" w:cs="Arial"/>
        </w:rPr>
        <w:t>participar como proveedores de</w:t>
      </w:r>
      <w:r w:rsidR="00F80FBC">
        <w:rPr>
          <w:rFonts w:ascii="Palatino Linotype" w:hAnsi="Palatino Linotype" w:cs="Arial"/>
        </w:rPr>
        <w:t xml:space="preserve"> las instituciones públicas cuyo</w:t>
      </w:r>
      <w:r w:rsidR="00963951">
        <w:rPr>
          <w:rFonts w:ascii="Palatino Linotype" w:hAnsi="Palatino Linotype" w:cs="Arial"/>
        </w:rPr>
        <w:t xml:space="preserve"> pago se reali</w:t>
      </w:r>
      <w:r w:rsidR="00F80FBC">
        <w:rPr>
          <w:rFonts w:ascii="Palatino Linotype" w:hAnsi="Palatino Linotype" w:cs="Arial"/>
        </w:rPr>
        <w:t>ce</w:t>
      </w:r>
      <w:r w:rsidR="00963951">
        <w:rPr>
          <w:rFonts w:ascii="Palatino Linotype" w:hAnsi="Palatino Linotype" w:cs="Arial"/>
        </w:rPr>
        <w:t xml:space="preserve"> </w:t>
      </w:r>
      <w:r w:rsidR="00FC392D" w:rsidRPr="00365BBB">
        <w:rPr>
          <w:rFonts w:ascii="Palatino Linotype" w:hAnsi="Palatino Linotype" w:cs="Arial"/>
        </w:rPr>
        <w:t>con recursos del erario</w:t>
      </w:r>
      <w:r w:rsidRPr="00365BBB">
        <w:rPr>
          <w:rFonts w:ascii="Palatino Linotype" w:hAnsi="Palatino Linotype" w:cs="Arial"/>
        </w:rPr>
        <w:t>, propic</w:t>
      </w:r>
      <w:r w:rsidR="00963951">
        <w:rPr>
          <w:rFonts w:ascii="Palatino Linotype" w:hAnsi="Palatino Linotype" w:cs="Arial"/>
        </w:rPr>
        <w:t>i</w:t>
      </w:r>
      <w:r w:rsidRPr="00365BBB">
        <w:rPr>
          <w:rFonts w:ascii="Palatino Linotype" w:hAnsi="Palatino Linotype" w:cs="Arial"/>
        </w:rPr>
        <w:t>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w:t>
      </w:r>
      <w:r w:rsidRPr="00365BBB">
        <w:rPr>
          <w:rFonts w:ascii="Palatino Linotype" w:hAnsi="Palatino Linotype" w:cs="Arial"/>
        </w:rPr>
        <w:lastRenderedPageBreak/>
        <w:t>la información sobre la que se debe conceder publicidad sólo es aquella relacionada con el ejercicio de recursos públicos o de funciones y las facturas de pagos de sujetos obligados están vinculadas directamente con el ejercicio de recursos públicos.</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 xml:space="preserve">Conforme a lo anterior, se considera que </w:t>
      </w:r>
      <w:r w:rsidR="00963951">
        <w:rPr>
          <w:rFonts w:ascii="Palatino Linotype" w:hAnsi="Palatino Linotype" w:cs="Arial"/>
        </w:rPr>
        <w:t xml:space="preserve">en su caso, dentro de la Resolución </w:t>
      </w:r>
      <w:r w:rsidRPr="00365BBB">
        <w:rPr>
          <w:rFonts w:ascii="Palatino Linotype" w:hAnsi="Palatino Linotype" w:cs="Arial"/>
        </w:rPr>
        <w:t>se debió realizar una prueba de interés público, con base en los elementos de idoneidad, necesidad y proporcionalidad,</w:t>
      </w:r>
      <w:r w:rsidRPr="00365BBB">
        <w:rPr>
          <w:rFonts w:ascii="Palatino Linotype" w:hAnsi="Palatino Linotype" w:cs="Arial"/>
          <w:b/>
        </w:rPr>
        <w:t xml:space="preserve"> </w:t>
      </w:r>
      <w:r w:rsidR="00963951">
        <w:rPr>
          <w:rFonts w:ascii="Palatino Linotype" w:hAnsi="Palatino Linotype" w:cs="Arial"/>
        </w:rPr>
        <w:t xml:space="preserve">de acuerdo a lo señalado en </w:t>
      </w:r>
      <w:r w:rsidRPr="00365BBB">
        <w:rPr>
          <w:rFonts w:ascii="Palatino Linotype" w:hAnsi="Palatino Linotype" w:cs="Arial"/>
        </w:rPr>
        <w:t>el artículo 184 de la Ley de Transparencia y Acceso a la Información Pública del Estado de México y Municipios, con el fin de ponderar la clasificación del Registro Federal de Contribuyentes, con el beneficio que provocaría a la sociedad el hacer público el mismo, a efecto que el ejercicio de los recursos públicos en materia de contrataciones y adquisiciones sea utilizado confo</w:t>
      </w:r>
      <w:r w:rsidR="00F377B8">
        <w:rPr>
          <w:rFonts w:ascii="Palatino Linotype" w:hAnsi="Palatino Linotype" w:cs="Arial"/>
        </w:rPr>
        <w:t>rme a la normatividad aplicable, como a continuación se muestra:</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pStyle w:val="Prrafodelista"/>
        <w:numPr>
          <w:ilvl w:val="0"/>
          <w:numId w:val="3"/>
        </w:numPr>
        <w:spacing w:after="0" w:line="276" w:lineRule="auto"/>
        <w:jc w:val="both"/>
        <w:rPr>
          <w:rFonts w:ascii="Palatino Linotype" w:hAnsi="Palatino Linotype" w:cs="Arial"/>
          <w:b/>
        </w:rPr>
      </w:pPr>
      <w:r w:rsidRPr="00365BBB">
        <w:rPr>
          <w:rFonts w:ascii="Palatino Linotype" w:hAnsi="Palatino Linotype" w:cs="Arial"/>
          <w:b/>
        </w:rPr>
        <w:t>Idoneidad:</w:t>
      </w:r>
    </w:p>
    <w:p w:rsidR="00741E70" w:rsidRPr="00365BBB" w:rsidRDefault="00741E70" w:rsidP="000E7B77">
      <w:pPr>
        <w:spacing w:after="0" w:line="276" w:lineRule="auto"/>
        <w:jc w:val="both"/>
        <w:rPr>
          <w:rFonts w:ascii="Palatino Linotype" w:hAnsi="Palatino Linotype" w:cs="Arial"/>
          <w:b/>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Se considera que debe prevalecer el derecho de acceso a la información frente a la clasificación del Registro Federal de Contribuyentes de personas físicas como confidencial, ya que hacerlo público en las facturas que entregan quienes participan en contrataciones públicas, es de trascendencia social, en virtud de que su presentación es uno de los requisitos que marca el Reglamento de la Ley de Contratación Pública del Estado de México y Municipios.</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rsidR="00741E70" w:rsidRPr="00365BBB" w:rsidRDefault="00741E70" w:rsidP="000E7B77">
      <w:pPr>
        <w:spacing w:after="0" w:line="276" w:lineRule="auto"/>
        <w:jc w:val="both"/>
        <w:rPr>
          <w:rFonts w:ascii="Palatino Linotype" w:hAnsi="Palatino Linotype" w:cs="Arial"/>
          <w:b/>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 xml:space="preserve">Bajo esa lógica, con la entrega del Registro Federal de Contribuyentes de personas físicas, en las facturas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w:t>
      </w:r>
      <w:r w:rsidRPr="00365BBB">
        <w:rPr>
          <w:rFonts w:ascii="Palatino Linotype" w:hAnsi="Palatino Linotype" w:cs="Arial"/>
        </w:rPr>
        <w:lastRenderedPageBreak/>
        <w:t>inscritas ante el Servicio de Administración Tributaria y presumiblemente cumplen con sus obligaciones fiscales.</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rsidR="00741E70" w:rsidRPr="00365BBB" w:rsidRDefault="00741E70" w:rsidP="000E7B77">
      <w:pPr>
        <w:spacing w:after="0" w:line="276" w:lineRule="auto"/>
        <w:jc w:val="both"/>
        <w:rPr>
          <w:rFonts w:ascii="Palatino Linotype" w:hAnsi="Palatino Linotype" w:cs="Arial"/>
          <w:b/>
        </w:rPr>
      </w:pPr>
    </w:p>
    <w:p w:rsidR="00741E70" w:rsidRPr="00365BBB" w:rsidRDefault="00741E70" w:rsidP="000E7B77">
      <w:pPr>
        <w:pStyle w:val="Prrafodelista"/>
        <w:numPr>
          <w:ilvl w:val="0"/>
          <w:numId w:val="3"/>
        </w:numPr>
        <w:spacing w:after="0" w:line="276" w:lineRule="auto"/>
        <w:jc w:val="both"/>
        <w:rPr>
          <w:rFonts w:ascii="Palatino Linotype" w:hAnsi="Palatino Linotype" w:cs="Arial"/>
          <w:b/>
        </w:rPr>
      </w:pPr>
      <w:r w:rsidRPr="00365BBB">
        <w:rPr>
          <w:rFonts w:ascii="Palatino Linotype" w:hAnsi="Palatino Linotype" w:cs="Arial"/>
          <w:b/>
        </w:rPr>
        <w:t>Necesidad:</w:t>
      </w:r>
    </w:p>
    <w:p w:rsidR="00741E70" w:rsidRPr="00365BBB" w:rsidRDefault="00741E70" w:rsidP="000E7B77">
      <w:pPr>
        <w:spacing w:after="0" w:line="276" w:lineRule="auto"/>
        <w:jc w:val="both"/>
        <w:rPr>
          <w:rFonts w:ascii="Palatino Linotype" w:hAnsi="Palatino Linotype" w:cs="Arial"/>
          <w:b/>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El Registro Federal de Contribuyentes es un dato que se asienta en las facturas</w:t>
      </w:r>
      <w:r w:rsidR="006958AD" w:rsidRPr="00365BBB">
        <w:rPr>
          <w:rFonts w:ascii="Palatino Linotype" w:hAnsi="Palatino Linotype" w:cs="Arial"/>
        </w:rPr>
        <w:t xml:space="preserve"> y posiblemente en los contratos</w:t>
      </w:r>
      <w:r w:rsidRPr="00365BBB">
        <w:rPr>
          <w:rFonts w:ascii="Palatino Linotype" w:hAnsi="Palatino Linotype" w:cs="Arial"/>
        </w:rPr>
        <w:t xml:space="preserve"> y si bien, su uso tiene que ver con el cumplimiento de disposiciones y obligaciones en materia fiscal, las facturas</w:t>
      </w:r>
      <w:r w:rsidR="006958AD" w:rsidRPr="00365BBB">
        <w:rPr>
          <w:rFonts w:ascii="Palatino Linotype" w:hAnsi="Palatino Linotype" w:cs="Arial"/>
        </w:rPr>
        <w:t xml:space="preserve"> y los contratos</w:t>
      </w:r>
      <w:r w:rsidRPr="00365BBB">
        <w:rPr>
          <w:rFonts w:ascii="Palatino Linotype" w:hAnsi="Palatino Linotype" w:cs="Arial"/>
        </w:rPr>
        <w:t xml:space="preserve">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comercial o servicios, con algún ente gubernamental, debe ceder información relacionada con su vida.</w:t>
      </w:r>
    </w:p>
    <w:p w:rsidR="001607BB" w:rsidRPr="00365BBB" w:rsidRDefault="001607BB" w:rsidP="000E7B77">
      <w:pPr>
        <w:spacing w:after="0" w:line="276" w:lineRule="auto"/>
        <w:jc w:val="both"/>
        <w:rPr>
          <w:rFonts w:ascii="Palatino Linotype" w:hAnsi="Palatino Linotype" w:cs="Arial"/>
          <w:b/>
        </w:rPr>
      </w:pPr>
    </w:p>
    <w:p w:rsidR="00741E70" w:rsidRPr="00365BBB" w:rsidRDefault="00741E70" w:rsidP="000E7B77">
      <w:pPr>
        <w:pStyle w:val="Prrafodelista"/>
        <w:numPr>
          <w:ilvl w:val="0"/>
          <w:numId w:val="3"/>
        </w:numPr>
        <w:spacing w:after="0" w:line="276" w:lineRule="auto"/>
        <w:jc w:val="both"/>
        <w:rPr>
          <w:rFonts w:ascii="Palatino Linotype" w:hAnsi="Palatino Linotype" w:cs="Arial"/>
          <w:b/>
        </w:rPr>
      </w:pPr>
      <w:r w:rsidRPr="00365BBB">
        <w:rPr>
          <w:rFonts w:ascii="Palatino Linotype" w:hAnsi="Palatino Linotype" w:cs="Arial"/>
          <w:b/>
        </w:rPr>
        <w:t>Proporcionalidad:</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rsidR="00741E70" w:rsidRPr="00365BBB" w:rsidRDefault="00741E70" w:rsidP="000E7B77">
      <w:pPr>
        <w:spacing w:after="0" w:line="276" w:lineRule="auto"/>
        <w:jc w:val="both"/>
        <w:rPr>
          <w:rFonts w:ascii="Palatino Linotype" w:hAnsi="Palatino Linotype" w:cs="Arial"/>
        </w:rPr>
      </w:pPr>
    </w:p>
    <w:p w:rsidR="00490EF6" w:rsidRDefault="00490EF6"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Consecuentemente, el dato en comento constituye información que reviste un interés público; por tanto, no existe menoscabo en el derecho a la intimidad del titular del dato personal, cuando se entrega esta información al estar directamente vinculada la factura</w:t>
      </w:r>
      <w:r w:rsidR="0046197F" w:rsidRPr="00365BBB">
        <w:rPr>
          <w:rFonts w:ascii="Palatino Linotype" w:hAnsi="Palatino Linotype" w:cs="Arial"/>
        </w:rPr>
        <w:t xml:space="preserve"> o contrato</w:t>
      </w:r>
      <w:r w:rsidRPr="00365BBB">
        <w:rPr>
          <w:rFonts w:ascii="Palatino Linotype" w:hAnsi="Palatino Linotype" w:cs="Arial"/>
        </w:rPr>
        <w:t>, con el ejercicio de recursos públicos; por lo que, no es posible clasificarla en términos del artículo 143, fracción I</w:t>
      </w:r>
      <w:r w:rsidR="00490EF6">
        <w:rPr>
          <w:rFonts w:ascii="Palatino Linotype" w:hAnsi="Palatino Linotype" w:cs="Arial"/>
        </w:rPr>
        <w:t>,</w:t>
      </w:r>
      <w:r w:rsidRPr="00365BBB">
        <w:rPr>
          <w:rFonts w:ascii="Palatino Linotype" w:hAnsi="Palatino Linotype" w:cs="Arial"/>
        </w:rPr>
        <w:t xml:space="preserve"> de la Ley de Transparencia y Acceso a la Información Pública del Estado de México y Municipios.</w:t>
      </w:r>
    </w:p>
    <w:p w:rsidR="00741E70" w:rsidRPr="00365BBB" w:rsidRDefault="00741E70" w:rsidP="000E7B77">
      <w:pPr>
        <w:spacing w:after="0" w:line="276" w:lineRule="auto"/>
        <w:jc w:val="both"/>
        <w:rPr>
          <w:rFonts w:ascii="Palatino Linotype" w:hAnsi="Palatino Linotype" w:cs="Arial"/>
        </w:rPr>
      </w:pPr>
    </w:p>
    <w:p w:rsidR="00741E70" w:rsidRPr="00365BBB" w:rsidRDefault="00741E70" w:rsidP="000E7B77">
      <w:pPr>
        <w:spacing w:after="0" w:line="276" w:lineRule="auto"/>
        <w:jc w:val="both"/>
        <w:rPr>
          <w:rFonts w:ascii="Palatino Linotype" w:hAnsi="Palatino Linotype" w:cs="Arial"/>
        </w:rPr>
      </w:pPr>
      <w:r w:rsidRPr="00365BBB">
        <w:rPr>
          <w:rFonts w:ascii="Palatino Linotype" w:hAnsi="Palatino Linotype" w:cs="Arial"/>
        </w:rPr>
        <w:t xml:space="preserve">En conclusión, toda vez, que el Registro Federal de Contribuyentes de </w:t>
      </w:r>
      <w:r w:rsidR="00490EF6">
        <w:rPr>
          <w:rFonts w:ascii="Palatino Linotype" w:hAnsi="Palatino Linotype" w:cs="Arial"/>
        </w:rPr>
        <w:t>proveedores</w:t>
      </w:r>
      <w:r w:rsidR="0046197F" w:rsidRPr="00365BBB">
        <w:rPr>
          <w:rFonts w:ascii="Palatino Linotype" w:hAnsi="Palatino Linotype" w:cs="Arial"/>
        </w:rPr>
        <w:t>, aun tratándose de personas físicas</w:t>
      </w:r>
      <w:r w:rsidRPr="00365BBB">
        <w:rPr>
          <w:rFonts w:ascii="Palatino Linotype" w:hAnsi="Palatino Linotype" w:cs="Arial"/>
        </w:rPr>
        <w:t xml:space="preserve">, es un requisito indispensable, para poder </w:t>
      </w:r>
      <w:r w:rsidR="0046197F" w:rsidRPr="00365BBB">
        <w:rPr>
          <w:rFonts w:ascii="Palatino Linotype" w:hAnsi="Palatino Linotype" w:cs="Arial"/>
        </w:rPr>
        <w:t xml:space="preserve">realizar </w:t>
      </w:r>
      <w:r w:rsidRPr="00365BBB">
        <w:rPr>
          <w:rFonts w:ascii="Palatino Linotype" w:hAnsi="Palatino Linotype" w:cs="Arial"/>
        </w:rPr>
        <w:t>contra</w:t>
      </w:r>
      <w:r w:rsidR="00170003" w:rsidRPr="00365BBB">
        <w:rPr>
          <w:rFonts w:ascii="Palatino Linotype" w:hAnsi="Palatino Linotype" w:cs="Arial"/>
        </w:rPr>
        <w:t>t</w:t>
      </w:r>
      <w:r w:rsidR="0046197F" w:rsidRPr="00365BBB">
        <w:rPr>
          <w:rFonts w:ascii="Palatino Linotype" w:hAnsi="Palatino Linotype" w:cs="Arial"/>
        </w:rPr>
        <w:t>os con instituciones públicas</w:t>
      </w:r>
      <w:r w:rsidRPr="00365BBB">
        <w:rPr>
          <w:rFonts w:ascii="Palatino Linotype" w:hAnsi="Palatino Linotype" w:cs="Arial"/>
        </w:rPr>
        <w:t xml:space="preserve">, se debió realizar una ponderación derechos y, en su caso, </w:t>
      </w:r>
      <w:r w:rsidR="00490EF6">
        <w:rPr>
          <w:rFonts w:ascii="Palatino Linotype" w:hAnsi="Palatino Linotype" w:cs="Arial"/>
        </w:rPr>
        <w:t>determinar que eran correctas las versiones públicas en donde no se omitió</w:t>
      </w:r>
      <w:r w:rsidR="00170003" w:rsidRPr="00365BBB">
        <w:rPr>
          <w:rFonts w:ascii="Palatino Linotype" w:hAnsi="Palatino Linotype" w:cs="Arial"/>
        </w:rPr>
        <w:t xml:space="preserve"> </w:t>
      </w:r>
      <w:r w:rsidRPr="00365BBB">
        <w:rPr>
          <w:rFonts w:ascii="Palatino Linotype" w:hAnsi="Palatino Linotype" w:cs="Arial"/>
        </w:rPr>
        <w:t xml:space="preserve">entregar dicho dato, </w:t>
      </w:r>
      <w:r w:rsidR="0046197F" w:rsidRPr="00365BBB">
        <w:rPr>
          <w:rFonts w:ascii="Palatino Linotype" w:hAnsi="Palatino Linotype" w:cs="Arial"/>
        </w:rPr>
        <w:t>en virtud de que su publicidad</w:t>
      </w:r>
      <w:r w:rsidRPr="00365BBB">
        <w:rPr>
          <w:rFonts w:ascii="Palatino Linotype" w:hAnsi="Palatino Linotype" w:cs="Arial"/>
        </w:rPr>
        <w:t xml:space="preserve"> ayuda a transparentar la correcta utilización de los recursos públicos, por parte </w:t>
      </w:r>
      <w:r w:rsidR="00170003" w:rsidRPr="00365BBB">
        <w:rPr>
          <w:rFonts w:ascii="Palatino Linotype" w:hAnsi="Palatino Linotype" w:cs="Arial"/>
        </w:rPr>
        <w:t xml:space="preserve">del </w:t>
      </w:r>
      <w:r w:rsidR="00490EF6">
        <w:rPr>
          <w:rFonts w:ascii="Palatino Linotype" w:hAnsi="Palatino Linotype" w:cs="Arial"/>
        </w:rPr>
        <w:t>Sujeto Obligado</w:t>
      </w:r>
      <w:r w:rsidRPr="00365BBB">
        <w:rPr>
          <w:rFonts w:ascii="Palatino Linotype" w:hAnsi="Palatino Linotype" w:cs="Arial"/>
        </w:rPr>
        <w:t>.</w:t>
      </w:r>
    </w:p>
    <w:p w:rsidR="00741E70" w:rsidRDefault="00741E70" w:rsidP="000E7B77">
      <w:pPr>
        <w:spacing w:after="0" w:line="276" w:lineRule="auto"/>
        <w:jc w:val="both"/>
        <w:rPr>
          <w:rFonts w:ascii="Palatino Linotype" w:hAnsi="Palatino Linotype" w:cs="Arial"/>
        </w:rPr>
      </w:pPr>
    </w:p>
    <w:p w:rsidR="00490EF6" w:rsidRDefault="00490EF6" w:rsidP="000E7B77">
      <w:pPr>
        <w:spacing w:after="0" w:line="276" w:lineRule="auto"/>
        <w:jc w:val="both"/>
        <w:rPr>
          <w:rFonts w:ascii="Palatino Linotype" w:hAnsi="Palatino Linotype" w:cs="Arial"/>
        </w:rPr>
      </w:pPr>
      <w:r>
        <w:rPr>
          <w:rFonts w:ascii="Palatino Linotype" w:hAnsi="Palatino Linotype" w:cs="Arial"/>
        </w:rPr>
        <w:t>Aún más, al no existir unanimidad en el Pleno de este Instituto, respecto de la naturaleza pública o confidencial del R</w:t>
      </w:r>
      <w:r w:rsidR="00F80FBC">
        <w:rPr>
          <w:rFonts w:ascii="Palatino Linotype" w:hAnsi="Palatino Linotype" w:cs="Arial"/>
        </w:rPr>
        <w:t>.</w:t>
      </w:r>
      <w:r>
        <w:rPr>
          <w:rFonts w:ascii="Palatino Linotype" w:hAnsi="Palatino Linotype" w:cs="Arial"/>
        </w:rPr>
        <w:t>F</w:t>
      </w:r>
      <w:r w:rsidR="00F80FBC">
        <w:rPr>
          <w:rFonts w:ascii="Palatino Linotype" w:hAnsi="Palatino Linotype" w:cs="Arial"/>
        </w:rPr>
        <w:t>.</w:t>
      </w:r>
      <w:r>
        <w:rPr>
          <w:rFonts w:ascii="Palatino Linotype" w:hAnsi="Palatino Linotype" w:cs="Arial"/>
        </w:rPr>
        <w:t>C</w:t>
      </w:r>
      <w:r w:rsidR="00F80FBC">
        <w:rPr>
          <w:rFonts w:ascii="Palatino Linotype" w:hAnsi="Palatino Linotype" w:cs="Arial"/>
        </w:rPr>
        <w:t>.</w:t>
      </w:r>
      <w:r>
        <w:rPr>
          <w:rFonts w:ascii="Palatino Linotype" w:hAnsi="Palatino Linotype" w:cs="Arial"/>
        </w:rPr>
        <w:t xml:space="preserve"> de proveedores personas físicas, en las facturas que dan cuenta del ejercicio de recursos públicos, tampoco debió darse vista al Contralor Interno de este Instituto.</w:t>
      </w:r>
    </w:p>
    <w:p w:rsidR="00490EF6" w:rsidRPr="00365BBB" w:rsidRDefault="00490EF6" w:rsidP="000E7B77">
      <w:pPr>
        <w:spacing w:after="0" w:line="276" w:lineRule="auto"/>
        <w:jc w:val="both"/>
        <w:rPr>
          <w:rFonts w:ascii="Palatino Linotype" w:hAnsi="Palatino Linotype" w:cs="Arial"/>
        </w:rPr>
      </w:pPr>
    </w:p>
    <w:p w:rsidR="00741E70" w:rsidRDefault="00741E70" w:rsidP="000E7B77">
      <w:pPr>
        <w:spacing w:after="0" w:line="276" w:lineRule="auto"/>
        <w:jc w:val="both"/>
        <w:rPr>
          <w:rFonts w:ascii="Palatino Linotype" w:hAnsi="Palatino Linotype" w:cs="Arial"/>
        </w:rPr>
      </w:pPr>
      <w:r w:rsidRPr="00365BBB">
        <w:rPr>
          <w:rFonts w:ascii="Palatino Linotype" w:hAnsi="Palatino Linotype" w:cs="Arial"/>
        </w:rPr>
        <w:t xml:space="preserve">Así, con base </w:t>
      </w:r>
      <w:r w:rsidR="00490EF6">
        <w:rPr>
          <w:rFonts w:ascii="Palatino Linotype" w:hAnsi="Palatino Linotype" w:cs="Arial"/>
        </w:rPr>
        <w:t>en los raz</w:t>
      </w:r>
      <w:bookmarkStart w:id="0" w:name="_GoBack"/>
      <w:bookmarkEnd w:id="0"/>
      <w:r w:rsidR="00490EF6">
        <w:rPr>
          <w:rFonts w:ascii="Palatino Linotype" w:hAnsi="Palatino Linotype" w:cs="Arial"/>
        </w:rPr>
        <w:t>onamientos expuestos,</w:t>
      </w:r>
      <w:r w:rsidRPr="00365BBB">
        <w:rPr>
          <w:rFonts w:ascii="Palatino Linotype" w:hAnsi="Palatino Linotype" w:cs="Arial"/>
          <w:b/>
        </w:rPr>
        <w:t xml:space="preserve"> emit</w:t>
      </w:r>
      <w:r w:rsidR="00490EF6">
        <w:rPr>
          <w:rFonts w:ascii="Palatino Linotype" w:hAnsi="Palatino Linotype" w:cs="Arial"/>
          <w:b/>
        </w:rPr>
        <w:t>imos</w:t>
      </w:r>
      <w:r w:rsidRPr="00365BBB">
        <w:rPr>
          <w:rFonts w:ascii="Palatino Linotype" w:hAnsi="Palatino Linotype" w:cs="Arial"/>
          <w:b/>
        </w:rPr>
        <w:t xml:space="preserve"> el presente voto particular</w:t>
      </w:r>
      <w:r w:rsidRPr="00365BBB">
        <w:rPr>
          <w:rFonts w:ascii="Palatino Linotype" w:hAnsi="Palatino Linotype" w:cs="Arial"/>
        </w:rPr>
        <w:t>.</w:t>
      </w:r>
    </w:p>
    <w:p w:rsidR="00490EF6" w:rsidRDefault="00490EF6" w:rsidP="000E7B77">
      <w:pPr>
        <w:spacing w:after="0" w:line="276"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90EF6" w:rsidTr="00490EF6">
        <w:tc>
          <w:tcPr>
            <w:tcW w:w="4414" w:type="dxa"/>
          </w:tcPr>
          <w:p w:rsidR="00490EF6" w:rsidRPr="00365BBB" w:rsidRDefault="00490EF6" w:rsidP="00490EF6">
            <w:pPr>
              <w:spacing w:line="276" w:lineRule="auto"/>
              <w:jc w:val="both"/>
              <w:rPr>
                <w:rFonts w:ascii="Palatino Linotype" w:hAnsi="Palatino Linotype" w:cs="Tahoma"/>
              </w:rPr>
            </w:pPr>
          </w:p>
          <w:p w:rsidR="00490EF6" w:rsidRPr="00365BBB" w:rsidRDefault="00490EF6" w:rsidP="00490EF6">
            <w:pPr>
              <w:spacing w:line="276" w:lineRule="auto"/>
              <w:jc w:val="center"/>
              <w:rPr>
                <w:rFonts w:ascii="Palatino Linotype" w:hAnsi="Palatino Linotype" w:cs="Tahoma"/>
                <w:b/>
              </w:rPr>
            </w:pPr>
            <w:r>
              <w:rPr>
                <w:rFonts w:ascii="Palatino Linotype" w:hAnsi="Palatino Linotype" w:cs="Tahoma"/>
                <w:b/>
              </w:rPr>
              <w:t>José Guadalupe Luna Hernández</w:t>
            </w:r>
          </w:p>
          <w:p w:rsidR="00490EF6" w:rsidRDefault="00490EF6" w:rsidP="00490EF6">
            <w:pPr>
              <w:spacing w:line="276" w:lineRule="auto"/>
              <w:jc w:val="center"/>
              <w:rPr>
                <w:rFonts w:ascii="Palatino Linotype" w:hAnsi="Palatino Linotype" w:cs="Tahoma"/>
              </w:rPr>
            </w:pPr>
            <w:r w:rsidRPr="00365BBB">
              <w:rPr>
                <w:rFonts w:ascii="Palatino Linotype" w:hAnsi="Palatino Linotype" w:cs="Tahoma"/>
              </w:rPr>
              <w:t>Comisionado</w:t>
            </w:r>
          </w:p>
          <w:p w:rsidR="00490EF6" w:rsidRPr="00490EF6" w:rsidRDefault="00490EF6" w:rsidP="00490EF6">
            <w:pPr>
              <w:spacing w:line="276" w:lineRule="auto"/>
              <w:jc w:val="center"/>
              <w:rPr>
                <w:rFonts w:ascii="Palatino Linotype" w:hAnsi="Palatino Linotype" w:cs="Tahoma"/>
                <w:b/>
              </w:rPr>
            </w:pPr>
            <w:r w:rsidRPr="00365BBB">
              <w:rPr>
                <w:rFonts w:ascii="Palatino Linotype" w:hAnsi="Palatino Linotype" w:cs="Tahoma"/>
                <w:b/>
              </w:rPr>
              <w:t>(Rúbrica)</w:t>
            </w:r>
          </w:p>
        </w:tc>
        <w:tc>
          <w:tcPr>
            <w:tcW w:w="4414" w:type="dxa"/>
          </w:tcPr>
          <w:p w:rsidR="00490EF6" w:rsidRPr="00365BBB" w:rsidRDefault="00490EF6" w:rsidP="00490EF6">
            <w:pPr>
              <w:spacing w:line="276" w:lineRule="auto"/>
              <w:jc w:val="both"/>
              <w:rPr>
                <w:rFonts w:ascii="Palatino Linotype" w:hAnsi="Palatino Linotype" w:cs="Tahoma"/>
              </w:rPr>
            </w:pPr>
          </w:p>
          <w:p w:rsidR="00490EF6" w:rsidRPr="00365BBB" w:rsidRDefault="00490EF6" w:rsidP="00490EF6">
            <w:pPr>
              <w:spacing w:line="276" w:lineRule="auto"/>
              <w:jc w:val="center"/>
              <w:rPr>
                <w:rFonts w:ascii="Palatino Linotype" w:hAnsi="Palatino Linotype" w:cs="Tahoma"/>
                <w:b/>
              </w:rPr>
            </w:pPr>
            <w:r w:rsidRPr="00365BBB">
              <w:rPr>
                <w:rFonts w:ascii="Palatino Linotype" w:hAnsi="Palatino Linotype" w:cs="Tahoma"/>
                <w:b/>
              </w:rPr>
              <w:t>Luis Gustavo Parra Noriega</w:t>
            </w:r>
          </w:p>
          <w:p w:rsidR="00490EF6" w:rsidRDefault="00490EF6" w:rsidP="00490EF6">
            <w:pPr>
              <w:spacing w:line="276" w:lineRule="auto"/>
              <w:jc w:val="center"/>
              <w:rPr>
                <w:rFonts w:ascii="Palatino Linotype" w:hAnsi="Palatino Linotype" w:cs="Tahoma"/>
              </w:rPr>
            </w:pPr>
            <w:r w:rsidRPr="00365BBB">
              <w:rPr>
                <w:rFonts w:ascii="Palatino Linotype" w:hAnsi="Palatino Linotype" w:cs="Tahoma"/>
              </w:rPr>
              <w:t>Comisionado</w:t>
            </w:r>
          </w:p>
          <w:p w:rsidR="00490EF6" w:rsidRPr="00365BBB" w:rsidRDefault="00490EF6" w:rsidP="00490EF6">
            <w:pPr>
              <w:spacing w:line="276" w:lineRule="auto"/>
              <w:jc w:val="center"/>
              <w:rPr>
                <w:rFonts w:ascii="Palatino Linotype" w:hAnsi="Palatino Linotype" w:cs="Tahoma"/>
                <w:b/>
              </w:rPr>
            </w:pPr>
            <w:r w:rsidRPr="00365BBB">
              <w:rPr>
                <w:rFonts w:ascii="Palatino Linotype" w:hAnsi="Palatino Linotype" w:cs="Tahoma"/>
                <w:b/>
              </w:rPr>
              <w:t>(Rúbrica)</w:t>
            </w:r>
          </w:p>
          <w:p w:rsidR="00490EF6" w:rsidRPr="00365BBB" w:rsidRDefault="00490EF6" w:rsidP="00490EF6">
            <w:pPr>
              <w:spacing w:line="276" w:lineRule="auto"/>
              <w:rPr>
                <w:rFonts w:ascii="Palatino Linotype" w:hAnsi="Palatino Linotype" w:cs="Tahoma"/>
              </w:rPr>
            </w:pPr>
          </w:p>
          <w:p w:rsidR="00490EF6" w:rsidRDefault="00490EF6" w:rsidP="000E7B77">
            <w:pPr>
              <w:spacing w:line="276" w:lineRule="auto"/>
              <w:jc w:val="both"/>
              <w:rPr>
                <w:rFonts w:ascii="Palatino Linotype" w:hAnsi="Palatino Linotype" w:cs="Arial"/>
              </w:rPr>
            </w:pPr>
          </w:p>
        </w:tc>
      </w:tr>
    </w:tbl>
    <w:p w:rsidR="00490EF6" w:rsidRPr="00365BBB" w:rsidRDefault="00490EF6" w:rsidP="000E7B77">
      <w:pPr>
        <w:spacing w:after="0" w:line="276" w:lineRule="auto"/>
        <w:jc w:val="both"/>
        <w:rPr>
          <w:rFonts w:ascii="Palatino Linotype" w:hAnsi="Palatino Linotype" w:cs="Arial"/>
        </w:rPr>
      </w:pPr>
    </w:p>
    <w:p w:rsidR="00553ADE" w:rsidRPr="00365BBB" w:rsidRDefault="00553ADE" w:rsidP="000E7B77">
      <w:pPr>
        <w:spacing w:after="0" w:line="276" w:lineRule="auto"/>
        <w:jc w:val="both"/>
        <w:rPr>
          <w:rFonts w:ascii="Palatino Linotype" w:hAnsi="Palatino Linotype" w:cs="Tahoma"/>
        </w:rPr>
      </w:pPr>
    </w:p>
    <w:p w:rsidR="003512C9" w:rsidRPr="00365BBB" w:rsidRDefault="003512C9" w:rsidP="000E7B77">
      <w:pPr>
        <w:spacing w:after="0" w:line="276" w:lineRule="auto"/>
        <w:jc w:val="both"/>
        <w:rPr>
          <w:rFonts w:ascii="Tahoma" w:hAnsi="Tahoma" w:cs="Tahoma"/>
        </w:rPr>
      </w:pPr>
    </w:p>
    <w:sectPr w:rsidR="003512C9" w:rsidRPr="00365BB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FE6" w:rsidRDefault="00CD3FE6" w:rsidP="00EE29F6">
      <w:pPr>
        <w:spacing w:after="0" w:line="240" w:lineRule="auto"/>
      </w:pPr>
      <w:r>
        <w:separator/>
      </w:r>
    </w:p>
  </w:endnote>
  <w:endnote w:type="continuationSeparator" w:id="0">
    <w:p w:rsidR="00CD3FE6" w:rsidRDefault="00CD3FE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818245"/>
      <w:docPartObj>
        <w:docPartGallery w:val="Page Numbers (Bottom of Page)"/>
        <w:docPartUnique/>
      </w:docPartObj>
    </w:sdtPr>
    <w:sdtEndPr/>
    <w:sdtContent>
      <w:sdt>
        <w:sdtPr>
          <w:id w:val="1728636285"/>
          <w:docPartObj>
            <w:docPartGallery w:val="Page Numbers (Top of Page)"/>
            <w:docPartUnique/>
          </w:docPartObj>
        </w:sdtPr>
        <w:sdtEndPr/>
        <w:sdtContent>
          <w:p w:rsidR="00F370EF" w:rsidRDefault="00F370E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C5E44">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C5E44">
              <w:rPr>
                <w:b/>
                <w:bCs/>
                <w:noProof/>
              </w:rPr>
              <w:t>6</w:t>
            </w:r>
            <w:r>
              <w:rPr>
                <w:b/>
                <w:bCs/>
                <w:sz w:val="24"/>
                <w:szCs w:val="24"/>
              </w:rPr>
              <w:fldChar w:fldCharType="end"/>
            </w:r>
          </w:p>
        </w:sdtContent>
      </w:sdt>
    </w:sdtContent>
  </w:sdt>
  <w:p w:rsidR="00F370EF" w:rsidRDefault="00F370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FE6" w:rsidRDefault="00CD3FE6" w:rsidP="00EE29F6">
      <w:pPr>
        <w:spacing w:after="0" w:line="240" w:lineRule="auto"/>
      </w:pPr>
      <w:r>
        <w:separator/>
      </w:r>
    </w:p>
  </w:footnote>
  <w:footnote w:type="continuationSeparator" w:id="0">
    <w:p w:rsidR="00CD3FE6" w:rsidRDefault="00CD3FE6"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70003" w:rsidRDefault="001106EA" w:rsidP="001106EA">
          <w:pPr>
            <w:pStyle w:val="Encabezado"/>
            <w:ind w:left="-108" w:right="-250"/>
            <w:jc w:val="both"/>
            <w:rPr>
              <w:rFonts w:ascii="Palatino Linotype" w:hAnsi="Palatino Linotype" w:cs="Tahoma"/>
              <w:sz w:val="24"/>
              <w:szCs w:val="24"/>
            </w:rPr>
          </w:pPr>
        </w:p>
        <w:p w:rsidR="001106EA" w:rsidRPr="00170003" w:rsidRDefault="001106EA" w:rsidP="0099345D">
          <w:pPr>
            <w:pStyle w:val="Encabezado"/>
            <w:ind w:left="-108" w:right="28"/>
            <w:jc w:val="both"/>
            <w:rPr>
              <w:rFonts w:ascii="Palatino Linotype" w:hAnsi="Palatino Linotype" w:cs="Tahoma"/>
              <w:b/>
              <w:sz w:val="24"/>
              <w:szCs w:val="24"/>
            </w:rPr>
          </w:pPr>
          <w:r w:rsidRPr="00170003">
            <w:rPr>
              <w:rFonts w:ascii="Palatino Linotype" w:hAnsi="Palatino Linotype" w:cs="Tahoma"/>
              <w:b/>
              <w:sz w:val="24"/>
              <w:szCs w:val="24"/>
            </w:rPr>
            <w:t>Voto Particular</w:t>
          </w:r>
          <w:r w:rsidR="003A666B">
            <w:rPr>
              <w:rFonts w:ascii="Palatino Linotype" w:hAnsi="Palatino Linotype" w:cs="Tahoma"/>
              <w:b/>
              <w:sz w:val="24"/>
              <w:szCs w:val="24"/>
            </w:rPr>
            <w:t xml:space="preserve"> Concurrente</w:t>
          </w:r>
        </w:p>
        <w:p w:rsidR="0077694E" w:rsidRDefault="001106EA" w:rsidP="0099345D">
          <w:pPr>
            <w:pStyle w:val="Encabezado"/>
            <w:ind w:left="-108" w:right="28"/>
            <w:jc w:val="both"/>
            <w:rPr>
              <w:rFonts w:ascii="Palatino Linotype" w:hAnsi="Palatino Linotype" w:cs="Tahoma"/>
              <w:b/>
              <w:sz w:val="24"/>
              <w:szCs w:val="24"/>
              <w:lang w:val="es-MX"/>
            </w:rPr>
          </w:pPr>
          <w:r w:rsidRPr="00170003">
            <w:rPr>
              <w:rFonts w:ascii="Palatino Linotype" w:hAnsi="Palatino Linotype" w:cs="Tahoma"/>
              <w:b/>
              <w:sz w:val="24"/>
              <w:szCs w:val="24"/>
            </w:rPr>
            <w:t xml:space="preserve">Recurso de Revisión: </w:t>
          </w:r>
          <w:r w:rsidR="0077488C" w:rsidRPr="00170003">
            <w:rPr>
              <w:rFonts w:ascii="Palatino Linotype" w:hAnsi="Palatino Linotype" w:cs="Tahoma"/>
              <w:b/>
              <w:sz w:val="24"/>
              <w:szCs w:val="24"/>
              <w:lang w:val="es-MX"/>
            </w:rPr>
            <w:t>03</w:t>
          </w:r>
          <w:r w:rsidR="003A666B">
            <w:rPr>
              <w:rFonts w:ascii="Palatino Linotype" w:hAnsi="Palatino Linotype" w:cs="Tahoma"/>
              <w:b/>
              <w:sz w:val="24"/>
              <w:szCs w:val="24"/>
              <w:lang w:val="es-MX"/>
            </w:rPr>
            <w:t>324</w:t>
          </w:r>
          <w:r w:rsidR="0077488C" w:rsidRPr="00170003">
            <w:rPr>
              <w:rFonts w:ascii="Palatino Linotype" w:hAnsi="Palatino Linotype" w:cs="Tahoma"/>
              <w:b/>
              <w:sz w:val="24"/>
              <w:szCs w:val="24"/>
              <w:lang w:val="es-MX"/>
            </w:rPr>
            <w:t>/INFOEM/IP/RR/2018</w:t>
          </w:r>
          <w:r w:rsidR="003A666B">
            <w:rPr>
              <w:rFonts w:ascii="Palatino Linotype" w:hAnsi="Palatino Linotype" w:cs="Tahoma"/>
              <w:b/>
              <w:sz w:val="24"/>
              <w:szCs w:val="24"/>
              <w:lang w:val="es-MX"/>
            </w:rPr>
            <w:t xml:space="preserve"> </w:t>
          </w:r>
          <w:r w:rsidR="0067046F">
            <w:rPr>
              <w:rFonts w:ascii="Palatino Linotype" w:hAnsi="Palatino Linotype" w:cs="Tahoma"/>
              <w:b/>
              <w:sz w:val="24"/>
              <w:szCs w:val="24"/>
              <w:lang w:val="es-MX"/>
            </w:rPr>
            <w:t xml:space="preserve"> y </w:t>
          </w:r>
          <w:r w:rsidR="003A666B">
            <w:rPr>
              <w:rFonts w:ascii="Palatino Linotype" w:hAnsi="Palatino Linotype" w:cs="Tahoma"/>
              <w:b/>
              <w:sz w:val="24"/>
              <w:szCs w:val="24"/>
              <w:lang w:val="es-MX"/>
            </w:rPr>
            <w:t>acumulados</w:t>
          </w:r>
        </w:p>
        <w:p w:rsidR="003410EA" w:rsidRPr="00170003" w:rsidRDefault="003410EA" w:rsidP="0099345D">
          <w:pPr>
            <w:pStyle w:val="Encabezado"/>
            <w:ind w:left="-108" w:right="28"/>
            <w:jc w:val="both"/>
            <w:rPr>
              <w:rFonts w:ascii="Palatino Linotype" w:hAnsi="Palatino Linotype" w:cs="Tahoma"/>
              <w:b/>
              <w:sz w:val="24"/>
              <w:szCs w:val="24"/>
            </w:rPr>
          </w:pPr>
          <w:r>
            <w:rPr>
              <w:rFonts w:ascii="Palatino Linotype" w:hAnsi="Palatino Linotype" w:cs="Tahoma"/>
              <w:b/>
              <w:sz w:val="24"/>
              <w:szCs w:val="24"/>
              <w:lang w:val="es-MX"/>
            </w:rPr>
            <w:t xml:space="preserve">Sujeto Obligado: </w:t>
          </w:r>
          <w:r w:rsidR="0067046F">
            <w:rPr>
              <w:rFonts w:ascii="Palatino Linotype" w:hAnsi="Palatino Linotype" w:cs="Tahoma"/>
              <w:b/>
              <w:sz w:val="24"/>
              <w:szCs w:val="24"/>
              <w:lang w:val="es-MX"/>
            </w:rPr>
            <w:t>Universidad Politécnica del Valle de Toluca</w:t>
          </w:r>
        </w:p>
        <w:p w:rsidR="0081690C" w:rsidRPr="0077488C" w:rsidRDefault="00F80FBC" w:rsidP="00C66349">
          <w:pPr>
            <w:pStyle w:val="Encabezado"/>
            <w:ind w:left="-108" w:right="28"/>
            <w:jc w:val="both"/>
            <w:rPr>
              <w:rFonts w:ascii="Palatino Linotype" w:hAnsi="Palatino Linotype" w:cs="Tahoma"/>
            </w:rPr>
          </w:pPr>
          <w:r>
            <w:rPr>
              <w:rFonts w:ascii="Palatino Linotype" w:hAnsi="Palatino Linotype" w:cs="Tahoma"/>
              <w:b/>
              <w:sz w:val="24"/>
              <w:szCs w:val="24"/>
            </w:rPr>
            <w:t>Comisionado</w:t>
          </w:r>
          <w:r w:rsidR="0081690C" w:rsidRPr="00170003">
            <w:rPr>
              <w:rFonts w:ascii="Palatino Linotype" w:hAnsi="Palatino Linotype" w:cs="Tahoma"/>
              <w:b/>
              <w:sz w:val="24"/>
              <w:szCs w:val="24"/>
            </w:rPr>
            <w:t xml:space="preserve"> Ponente: </w:t>
          </w:r>
          <w:r w:rsidR="00C66349">
            <w:rPr>
              <w:rFonts w:ascii="Palatino Linotype" w:hAnsi="Palatino Linotype" w:cs="Tahoma"/>
              <w:b/>
              <w:sz w:val="24"/>
              <w:szCs w:val="24"/>
              <w:lang w:val="es-MX"/>
            </w:rPr>
            <w:t>Javier Martínez Cruz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666CCB"/>
    <w:multiLevelType w:val="hybridMultilevel"/>
    <w:tmpl w:val="ED94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8"/>
  </w:num>
  <w:num w:numId="6">
    <w:abstractNumId w:val="2"/>
  </w:num>
  <w:num w:numId="7">
    <w:abstractNumId w:val="6"/>
  </w:num>
  <w:num w:numId="8">
    <w:abstractNumId w:val="13"/>
  </w:num>
  <w:num w:numId="9">
    <w:abstractNumId w:val="9"/>
  </w:num>
  <w:num w:numId="10">
    <w:abstractNumId w:val="12"/>
  </w:num>
  <w:num w:numId="11">
    <w:abstractNumId w:val="5"/>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40DD1"/>
    <w:rsid w:val="00060F74"/>
    <w:rsid w:val="0006561A"/>
    <w:rsid w:val="00087AC8"/>
    <w:rsid w:val="00092DF2"/>
    <w:rsid w:val="000B235B"/>
    <w:rsid w:val="000B7F6F"/>
    <w:rsid w:val="000C10B7"/>
    <w:rsid w:val="000D186F"/>
    <w:rsid w:val="000E0463"/>
    <w:rsid w:val="000E1146"/>
    <w:rsid w:val="000E7B77"/>
    <w:rsid w:val="00101D49"/>
    <w:rsid w:val="001106EA"/>
    <w:rsid w:val="00113C9C"/>
    <w:rsid w:val="001159DC"/>
    <w:rsid w:val="00116E1A"/>
    <w:rsid w:val="00136AD8"/>
    <w:rsid w:val="00140A57"/>
    <w:rsid w:val="00141FFF"/>
    <w:rsid w:val="0014736A"/>
    <w:rsid w:val="00157620"/>
    <w:rsid w:val="001607BB"/>
    <w:rsid w:val="00162325"/>
    <w:rsid w:val="0016780D"/>
    <w:rsid w:val="00170003"/>
    <w:rsid w:val="00172FA3"/>
    <w:rsid w:val="0018472D"/>
    <w:rsid w:val="00193AA8"/>
    <w:rsid w:val="001959E4"/>
    <w:rsid w:val="001A145C"/>
    <w:rsid w:val="001C1C64"/>
    <w:rsid w:val="001C714F"/>
    <w:rsid w:val="00202FF5"/>
    <w:rsid w:val="00217CF5"/>
    <w:rsid w:val="00231B68"/>
    <w:rsid w:val="00243A13"/>
    <w:rsid w:val="0028037C"/>
    <w:rsid w:val="002A1727"/>
    <w:rsid w:val="002A2EE7"/>
    <w:rsid w:val="002C2405"/>
    <w:rsid w:val="002D3AA1"/>
    <w:rsid w:val="002E5A1A"/>
    <w:rsid w:val="002E6535"/>
    <w:rsid w:val="003410EA"/>
    <w:rsid w:val="003512C9"/>
    <w:rsid w:val="00365BBB"/>
    <w:rsid w:val="0037237D"/>
    <w:rsid w:val="003A10D0"/>
    <w:rsid w:val="003A666B"/>
    <w:rsid w:val="003A71C0"/>
    <w:rsid w:val="003B6547"/>
    <w:rsid w:val="003B7A5E"/>
    <w:rsid w:val="003C3A8C"/>
    <w:rsid w:val="003E5D1D"/>
    <w:rsid w:val="003E698F"/>
    <w:rsid w:val="003F2426"/>
    <w:rsid w:val="0040139C"/>
    <w:rsid w:val="004211BB"/>
    <w:rsid w:val="00433746"/>
    <w:rsid w:val="00434C88"/>
    <w:rsid w:val="00435E69"/>
    <w:rsid w:val="00445BDF"/>
    <w:rsid w:val="0046197F"/>
    <w:rsid w:val="00490EF6"/>
    <w:rsid w:val="00490F50"/>
    <w:rsid w:val="00497ADE"/>
    <w:rsid w:val="004A4555"/>
    <w:rsid w:val="004B2EE2"/>
    <w:rsid w:val="004B541F"/>
    <w:rsid w:val="004B5C9A"/>
    <w:rsid w:val="004C4912"/>
    <w:rsid w:val="004E7007"/>
    <w:rsid w:val="004F350F"/>
    <w:rsid w:val="00524DA5"/>
    <w:rsid w:val="00542CB5"/>
    <w:rsid w:val="00544812"/>
    <w:rsid w:val="005523D2"/>
    <w:rsid w:val="00553ADE"/>
    <w:rsid w:val="0056120D"/>
    <w:rsid w:val="00582CCB"/>
    <w:rsid w:val="00584D73"/>
    <w:rsid w:val="0059329D"/>
    <w:rsid w:val="005A2510"/>
    <w:rsid w:val="005B4018"/>
    <w:rsid w:val="005B7EB8"/>
    <w:rsid w:val="005C094E"/>
    <w:rsid w:val="005C225B"/>
    <w:rsid w:val="005C73EE"/>
    <w:rsid w:val="005D11C8"/>
    <w:rsid w:val="005E2798"/>
    <w:rsid w:val="005F3B38"/>
    <w:rsid w:val="00605683"/>
    <w:rsid w:val="006248F2"/>
    <w:rsid w:val="006449B9"/>
    <w:rsid w:val="00645087"/>
    <w:rsid w:val="00654ACD"/>
    <w:rsid w:val="0067046F"/>
    <w:rsid w:val="00680B30"/>
    <w:rsid w:val="00682003"/>
    <w:rsid w:val="00684B16"/>
    <w:rsid w:val="006958AD"/>
    <w:rsid w:val="00695913"/>
    <w:rsid w:val="006E2ED0"/>
    <w:rsid w:val="006F5316"/>
    <w:rsid w:val="0072013A"/>
    <w:rsid w:val="00724F08"/>
    <w:rsid w:val="00731E19"/>
    <w:rsid w:val="007378E2"/>
    <w:rsid w:val="00741E70"/>
    <w:rsid w:val="00742A15"/>
    <w:rsid w:val="00745549"/>
    <w:rsid w:val="0077488C"/>
    <w:rsid w:val="0077694E"/>
    <w:rsid w:val="007954DE"/>
    <w:rsid w:val="007A18DC"/>
    <w:rsid w:val="007A236B"/>
    <w:rsid w:val="007A2D13"/>
    <w:rsid w:val="007D30ED"/>
    <w:rsid w:val="007D3257"/>
    <w:rsid w:val="007E0174"/>
    <w:rsid w:val="007F1C1D"/>
    <w:rsid w:val="007F7D80"/>
    <w:rsid w:val="0081690C"/>
    <w:rsid w:val="00836BC2"/>
    <w:rsid w:val="00861757"/>
    <w:rsid w:val="00865F2E"/>
    <w:rsid w:val="008A3DA9"/>
    <w:rsid w:val="008B08C9"/>
    <w:rsid w:val="008B19C4"/>
    <w:rsid w:val="008B5A5A"/>
    <w:rsid w:val="008E6901"/>
    <w:rsid w:val="00906D44"/>
    <w:rsid w:val="00922B2E"/>
    <w:rsid w:val="00927BD1"/>
    <w:rsid w:val="00927FD1"/>
    <w:rsid w:val="00950355"/>
    <w:rsid w:val="00957FF3"/>
    <w:rsid w:val="00963951"/>
    <w:rsid w:val="00974836"/>
    <w:rsid w:val="0099345D"/>
    <w:rsid w:val="009943E1"/>
    <w:rsid w:val="009B2C0B"/>
    <w:rsid w:val="009D07E2"/>
    <w:rsid w:val="009D14D2"/>
    <w:rsid w:val="009D49BE"/>
    <w:rsid w:val="009E41F7"/>
    <w:rsid w:val="009F6181"/>
    <w:rsid w:val="00A13BE9"/>
    <w:rsid w:val="00A34659"/>
    <w:rsid w:val="00A364BA"/>
    <w:rsid w:val="00A37655"/>
    <w:rsid w:val="00A5061A"/>
    <w:rsid w:val="00A63A51"/>
    <w:rsid w:val="00A87924"/>
    <w:rsid w:val="00AA090B"/>
    <w:rsid w:val="00AB3A4B"/>
    <w:rsid w:val="00AF3B6B"/>
    <w:rsid w:val="00B263C5"/>
    <w:rsid w:val="00B51034"/>
    <w:rsid w:val="00B5279E"/>
    <w:rsid w:val="00B53028"/>
    <w:rsid w:val="00B61D0B"/>
    <w:rsid w:val="00B67355"/>
    <w:rsid w:val="00B7393F"/>
    <w:rsid w:val="00B761B1"/>
    <w:rsid w:val="00BB6EE3"/>
    <w:rsid w:val="00BC4882"/>
    <w:rsid w:val="00BC5E44"/>
    <w:rsid w:val="00BC6D84"/>
    <w:rsid w:val="00BD4705"/>
    <w:rsid w:val="00BD5DBE"/>
    <w:rsid w:val="00BD6DB9"/>
    <w:rsid w:val="00C03E23"/>
    <w:rsid w:val="00C30FD6"/>
    <w:rsid w:val="00C44CA4"/>
    <w:rsid w:val="00C55FFC"/>
    <w:rsid w:val="00C60A03"/>
    <w:rsid w:val="00C66349"/>
    <w:rsid w:val="00C75CE0"/>
    <w:rsid w:val="00CA050D"/>
    <w:rsid w:val="00CA2787"/>
    <w:rsid w:val="00CA2EF1"/>
    <w:rsid w:val="00CA7627"/>
    <w:rsid w:val="00CD3FE6"/>
    <w:rsid w:val="00CE50F9"/>
    <w:rsid w:val="00D05740"/>
    <w:rsid w:val="00D13875"/>
    <w:rsid w:val="00D160F2"/>
    <w:rsid w:val="00D20732"/>
    <w:rsid w:val="00D368B3"/>
    <w:rsid w:val="00D51426"/>
    <w:rsid w:val="00D51D90"/>
    <w:rsid w:val="00D55429"/>
    <w:rsid w:val="00D65D0C"/>
    <w:rsid w:val="00D666D4"/>
    <w:rsid w:val="00D7239D"/>
    <w:rsid w:val="00D75FAE"/>
    <w:rsid w:val="00D77F63"/>
    <w:rsid w:val="00D9114A"/>
    <w:rsid w:val="00D9210C"/>
    <w:rsid w:val="00DA11C0"/>
    <w:rsid w:val="00DC26CE"/>
    <w:rsid w:val="00DD066A"/>
    <w:rsid w:val="00E145E1"/>
    <w:rsid w:val="00E22CDE"/>
    <w:rsid w:val="00E26123"/>
    <w:rsid w:val="00E3399E"/>
    <w:rsid w:val="00E34559"/>
    <w:rsid w:val="00E41481"/>
    <w:rsid w:val="00E416F8"/>
    <w:rsid w:val="00E6596A"/>
    <w:rsid w:val="00E82F77"/>
    <w:rsid w:val="00E83683"/>
    <w:rsid w:val="00E93B0A"/>
    <w:rsid w:val="00EB6B98"/>
    <w:rsid w:val="00EB7128"/>
    <w:rsid w:val="00EC223E"/>
    <w:rsid w:val="00EC7AE6"/>
    <w:rsid w:val="00EE18E8"/>
    <w:rsid w:val="00EE29F6"/>
    <w:rsid w:val="00F0484C"/>
    <w:rsid w:val="00F14384"/>
    <w:rsid w:val="00F17315"/>
    <w:rsid w:val="00F370EF"/>
    <w:rsid w:val="00F377B8"/>
    <w:rsid w:val="00F40FC4"/>
    <w:rsid w:val="00F7229D"/>
    <w:rsid w:val="00F80FBC"/>
    <w:rsid w:val="00F8595A"/>
    <w:rsid w:val="00F94DFB"/>
    <w:rsid w:val="00FA7B69"/>
    <w:rsid w:val="00FB3044"/>
    <w:rsid w:val="00FC1D9D"/>
    <w:rsid w:val="00FC392D"/>
    <w:rsid w:val="00FD1849"/>
    <w:rsid w:val="00FD3150"/>
    <w:rsid w:val="00FD530D"/>
    <w:rsid w:val="00FE003F"/>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BB0D7C-0352-49D3-9D08-15DB3F4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6A"/>
  </w:style>
  <w:style w:type="paragraph" w:styleId="Ttulo1">
    <w:name w:val="heading 1"/>
    <w:basedOn w:val="Normal"/>
    <w:next w:val="Normal"/>
    <w:link w:val="Ttulo1Car"/>
    <w:uiPriority w:val="9"/>
    <w:qFormat/>
    <w:rsid w:val="007E0174"/>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0DD1"/>
  </w:style>
  <w:style w:type="character" w:customStyle="1" w:styleId="Ttulo1Car">
    <w:name w:val="Título 1 Car"/>
    <w:basedOn w:val="Fuentedeprrafopredeter"/>
    <w:link w:val="Ttulo1"/>
    <w:uiPriority w:val="9"/>
    <w:rsid w:val="007E0174"/>
    <w:rPr>
      <w:rFonts w:ascii="Palatino Linotype" w:eastAsiaTheme="majorEastAsia" w:hAnsi="Palatino Linotype" w:cstheme="majorBidi"/>
      <w:b/>
      <w:sz w:val="24"/>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67E6-49B4-4E90-8DBF-E648EB98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1903</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21</cp:revision>
  <cp:lastPrinted>2018-11-20T23:47:00Z</cp:lastPrinted>
  <dcterms:created xsi:type="dcterms:W3CDTF">2018-11-20T16:35:00Z</dcterms:created>
  <dcterms:modified xsi:type="dcterms:W3CDTF">2018-11-21T02:38:00Z</dcterms:modified>
</cp:coreProperties>
</file>